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D5D0" w14:textId="4A3DC010" w:rsidR="00597FA6" w:rsidRDefault="00597FA6" w:rsidP="009C0700">
      <w:pPr>
        <w:jc w:val="both"/>
      </w:pPr>
      <w:r>
        <w:tab/>
        <w:t>Kylee Chang</w:t>
      </w:r>
    </w:p>
    <w:p w14:paraId="3FEEE115" w14:textId="13A81B9C" w:rsidR="00597FA6" w:rsidRDefault="00597FA6" w:rsidP="009C0700">
      <w:pPr>
        <w:jc w:val="both"/>
      </w:pPr>
      <w:r>
        <w:t xml:space="preserve">SIO 217d </w:t>
      </w:r>
    </w:p>
    <w:p w14:paraId="3337F761" w14:textId="5506A230" w:rsidR="00597FA6" w:rsidRDefault="00597FA6" w:rsidP="009C0700">
      <w:pPr>
        <w:jc w:val="both"/>
      </w:pPr>
      <w:r>
        <w:t>February 25, 2014</w:t>
      </w:r>
    </w:p>
    <w:p w14:paraId="3EB5B49B" w14:textId="77777777" w:rsidR="005D7697" w:rsidRDefault="005D7697" w:rsidP="009C0700">
      <w:pPr>
        <w:jc w:val="both"/>
      </w:pPr>
    </w:p>
    <w:p w14:paraId="5718D591" w14:textId="77777777" w:rsidR="005D7697" w:rsidRPr="005D7697" w:rsidRDefault="005D7697" w:rsidP="009C0700">
      <w:pPr>
        <w:jc w:val="both"/>
      </w:pPr>
      <w:r w:rsidRPr="005D7697">
        <w:rPr>
          <w:b/>
          <w:bCs/>
        </w:rPr>
        <w:t>Evolution of Size Distributions with condensation of sulfuric acid on particles</w:t>
      </w:r>
    </w:p>
    <w:p w14:paraId="051A1790" w14:textId="77777777" w:rsidR="00597FA6" w:rsidRDefault="00597FA6" w:rsidP="009C0700">
      <w:pPr>
        <w:jc w:val="both"/>
      </w:pPr>
    </w:p>
    <w:p w14:paraId="12CBFA21" w14:textId="4084F54F" w:rsidR="00597FA6" w:rsidRDefault="00597FA6" w:rsidP="009C0700">
      <w:pPr>
        <w:ind w:firstLine="720"/>
        <w:jc w:val="both"/>
      </w:pPr>
      <w:r>
        <w:t xml:space="preserve">As energy and environmental pressures increase, interests in biofuels such as biodiesel and ethanol continue to grow.  </w:t>
      </w:r>
      <w:r w:rsidR="005D7697">
        <w:t xml:space="preserve">The size </w:t>
      </w:r>
      <w:r w:rsidR="00F71BA8">
        <w:t xml:space="preserve">distribution </w:t>
      </w:r>
      <w:r w:rsidR="005D7697">
        <w:t xml:space="preserve">and composition of particles can be affect by different types of biofuels as well as engine combustion modes. </w:t>
      </w:r>
      <w:r>
        <w:t xml:space="preserve">The </w:t>
      </w:r>
      <w:r w:rsidR="005D7697">
        <w:t>emissions from diesel engines have</w:t>
      </w:r>
      <w:r>
        <w:t xml:space="preserve"> </w:t>
      </w:r>
      <w:r w:rsidR="005D7697">
        <w:t xml:space="preserve">been shown to have </w:t>
      </w:r>
      <w:r>
        <w:t>a direct correlation to the chemical structure of the molecules in the fuel (</w:t>
      </w:r>
      <w:proofErr w:type="spellStart"/>
      <w:r>
        <w:t>Stevanovic</w:t>
      </w:r>
      <w:proofErr w:type="spellEnd"/>
      <w:r>
        <w:t xml:space="preserve"> e</w:t>
      </w:r>
      <w:r w:rsidR="005D7697">
        <w:t>t al., 2013). Particle</w:t>
      </w:r>
      <w:r>
        <w:t xml:space="preserve"> size distributions from diesel engines running on biofuel</w:t>
      </w:r>
      <w:r w:rsidR="005D7697">
        <w:t xml:space="preserve">s </w:t>
      </w:r>
      <w:r>
        <w:t>increase nucleation mode particles relative to diesel (Su et al., 2013).  This shift may be caused by more semi</w:t>
      </w:r>
      <w:r w:rsidR="005D7697">
        <w:t>-</w:t>
      </w:r>
      <w:r>
        <w:t xml:space="preserve">volatile organic carbon in the </w:t>
      </w:r>
      <w:r w:rsidR="005D7697">
        <w:t>exhaust</w:t>
      </w:r>
      <w:r>
        <w:t xml:space="preserve"> </w:t>
      </w:r>
      <w:r w:rsidR="005D7697">
        <w:t>causing</w:t>
      </w:r>
      <w:r>
        <w:t xml:space="preserve"> an increase in nucleated </w:t>
      </w:r>
      <w:r w:rsidR="00F71BA8">
        <w:t>particles</w:t>
      </w:r>
      <w:r>
        <w:t xml:space="preserve">. </w:t>
      </w:r>
      <w:r w:rsidR="005A2BF7">
        <w:t>D</w:t>
      </w:r>
      <w:r>
        <w:t>imethyl carbonate, which increases th</w:t>
      </w:r>
      <w:r w:rsidR="005D7697">
        <w:t>e mass of oxygen in biofuels</w:t>
      </w:r>
      <w:r w:rsidR="00F71BA8">
        <w:t>,</w:t>
      </w:r>
      <w:r w:rsidR="005D7697">
        <w:t xml:space="preserve"> has</w:t>
      </w:r>
      <w:r>
        <w:t xml:space="preserve"> </w:t>
      </w:r>
      <w:r w:rsidR="005D7697">
        <w:t xml:space="preserve">also </w:t>
      </w:r>
      <w:r>
        <w:t>been show</w:t>
      </w:r>
      <w:r w:rsidR="00F71BA8">
        <w:t>n</w:t>
      </w:r>
      <w:r>
        <w:t xml:space="preserve"> to shift the geometric mean </w:t>
      </w:r>
      <w:r w:rsidR="005D7697">
        <w:t>diameter</w:t>
      </w:r>
      <w:r>
        <w:t xml:space="preserve"> of particles towards smaller size in </w:t>
      </w:r>
      <w:r w:rsidR="005D7697">
        <w:t>comparison</w:t>
      </w:r>
      <w:r>
        <w:t xml:space="preserve"> the diesel fuel (Zhu et al., 2011).  </w:t>
      </w:r>
    </w:p>
    <w:p w14:paraId="364785ED" w14:textId="4364A55F" w:rsidR="00597FA6" w:rsidRDefault="005A2BF7" w:rsidP="009C0700">
      <w:pPr>
        <w:jc w:val="both"/>
      </w:pPr>
      <w:r>
        <w:tab/>
        <w:t>In this project</w:t>
      </w:r>
      <w:r w:rsidR="00597FA6">
        <w:t xml:space="preserve"> various size distributions of</w:t>
      </w:r>
      <w:r>
        <w:t xml:space="preserve"> particle</w:t>
      </w:r>
      <w:r w:rsidR="00597FA6">
        <w:t xml:space="preserve"> emissions from dies</w:t>
      </w:r>
      <w:r>
        <w:t>el engines running on bio</w:t>
      </w:r>
      <w:r w:rsidR="00597FA6">
        <w:t xml:space="preserve">fuel </w:t>
      </w:r>
      <w:r>
        <w:t>are chosen</w:t>
      </w:r>
      <w:r w:rsidR="00597FA6">
        <w:t xml:space="preserve"> to predict their growth from the condensation of sulfuric acid.  </w:t>
      </w:r>
      <w:r>
        <w:t xml:space="preserve">The size distributions from </w:t>
      </w:r>
      <w:r w:rsidRPr="007C202A">
        <w:rPr>
          <w:i/>
        </w:rPr>
        <w:t>Su et al., 2013</w:t>
      </w:r>
      <w:r>
        <w:t xml:space="preserve">, </w:t>
      </w:r>
      <w:proofErr w:type="spellStart"/>
      <w:r w:rsidRPr="007C202A">
        <w:rPr>
          <w:i/>
        </w:rPr>
        <w:t>Stevanovic</w:t>
      </w:r>
      <w:proofErr w:type="spellEnd"/>
      <w:r w:rsidRPr="007C202A">
        <w:rPr>
          <w:i/>
        </w:rPr>
        <w:t xml:space="preserve"> et al., 2013</w:t>
      </w:r>
      <w:r>
        <w:t xml:space="preserve"> and </w:t>
      </w:r>
      <w:r w:rsidRPr="007C202A">
        <w:rPr>
          <w:i/>
        </w:rPr>
        <w:t>Zhu et al., 2011</w:t>
      </w:r>
      <w:r>
        <w:rPr>
          <w:i/>
        </w:rPr>
        <w:t xml:space="preserve"> </w:t>
      </w:r>
      <w:r>
        <w:t xml:space="preserve">represent the different size distributions of biofuel emissions and thus were chosen for this project. </w:t>
      </w:r>
      <w:r w:rsidR="00FB74DD">
        <w:t xml:space="preserve"> </w:t>
      </w:r>
      <w:r w:rsidR="00597FA6">
        <w:t xml:space="preserve">To simulate condensation of sulfuric acid onto particles the Condensation Size Distribution Model from http://aerosols.ucsd.edu/aerosolsinmotion.html was used to determine the growth of the three distributions.  Included this model was the Condensation Rate Equation (Eq. 11.29 from Seinfeld and </w:t>
      </w:r>
      <w:proofErr w:type="spellStart"/>
      <w:r w:rsidR="00597FA6">
        <w:t>Pandis</w:t>
      </w:r>
      <w:proofErr w:type="spellEnd"/>
      <w:r w:rsidR="00597FA6">
        <w:t>).</w:t>
      </w:r>
    </w:p>
    <w:p w14:paraId="70E9A8F1" w14:textId="1EB27E66" w:rsidR="00597FA6" w:rsidRDefault="00597FA6" w:rsidP="009C0700">
      <w:pPr>
        <w:jc w:val="both"/>
      </w:pPr>
      <w:r>
        <w:tab/>
      </w:r>
      <w:proofErr w:type="spellStart"/>
      <w:r w:rsidRPr="00FB74DD">
        <w:rPr>
          <w:i/>
        </w:rPr>
        <w:t>Stevanovic</w:t>
      </w:r>
      <w:proofErr w:type="spellEnd"/>
      <w:r w:rsidRPr="00FB74DD">
        <w:rPr>
          <w:i/>
        </w:rPr>
        <w:t xml:space="preserve"> et al., 2013</w:t>
      </w:r>
      <w:r>
        <w:t xml:space="preserve"> and </w:t>
      </w:r>
      <w:r w:rsidRPr="00FB74DD">
        <w:rPr>
          <w:i/>
        </w:rPr>
        <w:t>Zhu</w:t>
      </w:r>
      <w:r w:rsidR="007C202A" w:rsidRPr="00FB74DD">
        <w:rPr>
          <w:i/>
        </w:rPr>
        <w:t xml:space="preserve"> et al., 2013</w:t>
      </w:r>
      <w:r w:rsidR="007C202A">
        <w:t xml:space="preserve"> both had initial </w:t>
      </w:r>
      <w:r>
        <w:t>distributions predominantly in Aitken and accumulation mo</w:t>
      </w:r>
      <w:r w:rsidR="009C0700">
        <w:t>de (</w:t>
      </w:r>
      <w:proofErr w:type="spellStart"/>
      <w:r w:rsidR="009C0700">
        <w:t>appx</w:t>
      </w:r>
      <w:proofErr w:type="spellEnd"/>
      <w:r w:rsidR="009C0700">
        <w:t xml:space="preserve">. diameter 0.1 </w:t>
      </w:r>
      <w:proofErr w:type="spellStart"/>
      <w:r w:rsidR="009C0700">
        <w:t>μm</w:t>
      </w:r>
      <w:proofErr w:type="spellEnd"/>
      <w:r w:rsidR="009C0700">
        <w:t xml:space="preserve">). The </w:t>
      </w:r>
      <w:r>
        <w:t>condensation of sulfuric acid did not affect the di</w:t>
      </w:r>
      <w:r w:rsidR="007C202A">
        <w:t xml:space="preserve">ameter of the size distribution </w:t>
      </w:r>
      <w:r>
        <w:t xml:space="preserve">because the diameter was large relative to the amount of vapor condensed. </w:t>
      </w:r>
      <w:r w:rsidRPr="00FB74DD">
        <w:rPr>
          <w:i/>
        </w:rPr>
        <w:t>Su et al., 2013</w:t>
      </w:r>
      <w:r>
        <w:t xml:space="preserve"> measured particles in nucleation mode (diameter of 0.001-0.01 </w:t>
      </w:r>
      <w:proofErr w:type="spellStart"/>
      <w:r>
        <w:t>μm</w:t>
      </w:r>
      <w:proofErr w:type="spellEnd"/>
      <w:r>
        <w:t xml:space="preserve">), thus the condensation of sulfuric acid had a </w:t>
      </w:r>
      <w:r w:rsidR="007C202A">
        <w:t>greater affect on mean diameter.</w:t>
      </w:r>
    </w:p>
    <w:p w14:paraId="4F030934" w14:textId="5CA6830A" w:rsidR="00597FA6" w:rsidRDefault="003F665D" w:rsidP="009C0700">
      <w:pPr>
        <w:ind w:firstLine="720"/>
        <w:jc w:val="both"/>
      </w:pPr>
      <w:r>
        <w:t>Si</w:t>
      </w:r>
      <w:r w:rsidR="00FB74DD">
        <w:t>ze distributi</w:t>
      </w:r>
      <w:r>
        <w:t>on can give us a clearer idea o</w:t>
      </w:r>
      <w:r w:rsidR="00FB74DD">
        <w:t xml:space="preserve">f </w:t>
      </w:r>
      <w:r w:rsidR="009C0700">
        <w:t>particle</w:t>
      </w:r>
      <w:r>
        <w:t xml:space="preserve"> origin, either anthropogenic or biogenic, </w:t>
      </w:r>
      <w:r w:rsidR="00FB74DD">
        <w:t xml:space="preserve">however, they cannot tell us the composition.  Often particles evolve in the atmosphere and are affected by a number of chemical and physical mechanisms. For example, when a vapor condenses onto a particle it can change the composition and in some cases the mean diameter.  </w:t>
      </w:r>
      <w:r w:rsidR="00597FA6" w:rsidRPr="00FB74DD">
        <w:rPr>
          <w:i/>
        </w:rPr>
        <w:t>Coggon et al., 2012</w:t>
      </w:r>
      <w:r w:rsidR="00597FA6">
        <w:t xml:space="preserve"> measured marine aerosol </w:t>
      </w:r>
      <w:r>
        <w:t xml:space="preserve">and impacts of shipping emissions </w:t>
      </w:r>
      <w:r w:rsidR="00597FA6">
        <w:t>during th</w:t>
      </w:r>
      <w:r>
        <w:t xml:space="preserve">e E-PEACE campaign. </w:t>
      </w:r>
      <w:r w:rsidR="00597FA6">
        <w:t xml:space="preserve">Measurements of in cloud aerosols contained </w:t>
      </w:r>
      <w:r w:rsidR="009C0700">
        <w:t>almost a 1:1 ratio of sulfate to</w:t>
      </w:r>
      <w:r w:rsidR="009C0700">
        <w:t xml:space="preserve"> the organic component</w:t>
      </w:r>
      <w:r w:rsidR="009C0700">
        <w:t xml:space="preserve"> (47% sulfate)</w:t>
      </w:r>
      <w:r>
        <w:t>.  The particles in the size distributions chose</w:t>
      </w:r>
      <w:r w:rsidR="009C0700">
        <w:t>n</w:t>
      </w:r>
      <w:r>
        <w:t xml:space="preserve"> in this project </w:t>
      </w:r>
      <w:r w:rsidR="00597FA6">
        <w:t>were assumed to be composed of 100% organics and the Condensation Mod</w:t>
      </w:r>
      <w:r>
        <w:t>el was used to model the marine aerosols measured during E-PEACE</w:t>
      </w:r>
      <w:r w:rsidR="00597FA6">
        <w:t>.</w:t>
      </w:r>
    </w:p>
    <w:p w14:paraId="1ACB2B13" w14:textId="7AFE0108" w:rsidR="00916F99" w:rsidRDefault="006F1910" w:rsidP="009C0700">
      <w:pPr>
        <w:jc w:val="both"/>
      </w:pPr>
      <w:r>
        <w:tab/>
        <w:t>Particles</w:t>
      </w:r>
      <w:r w:rsidR="00597FA6">
        <w:t xml:space="preserve"> &lt;0.10 </w:t>
      </w:r>
      <w:proofErr w:type="spellStart"/>
      <w:r w:rsidR="00597FA6">
        <w:t>μm</w:t>
      </w:r>
      <w:proofErr w:type="spellEnd"/>
      <w:r w:rsidR="00597FA6">
        <w:t xml:space="preserve"> in diameter are composed of a larger fraction sulfuric acid than particles </w:t>
      </w:r>
      <w:proofErr w:type="gramStart"/>
      <w:r w:rsidR="00597FA6">
        <w:t xml:space="preserve">≥0.10  </w:t>
      </w:r>
      <w:proofErr w:type="spellStart"/>
      <w:r w:rsidR="00597FA6">
        <w:t>μm</w:t>
      </w:r>
      <w:proofErr w:type="spellEnd"/>
      <w:proofErr w:type="gramEnd"/>
      <w:r w:rsidR="00597FA6">
        <w:t xml:space="preserve"> in diameter. The particles in the accumulation mode and larger half of Aitken mode are less affected by the condensation of sulfuric acid than particles in nucleation</w:t>
      </w:r>
      <w:r>
        <w:t xml:space="preserve"> mode</w:t>
      </w:r>
      <w:r w:rsidR="00597FA6">
        <w:t xml:space="preserve">. </w:t>
      </w:r>
      <w:r>
        <w:t xml:space="preserve">The nucleation mode particles </w:t>
      </w:r>
      <w:r w:rsidR="009C0700">
        <w:t xml:space="preserve">measured </w:t>
      </w:r>
      <w:bookmarkStart w:id="0" w:name="_GoBack"/>
      <w:bookmarkEnd w:id="0"/>
      <w:r>
        <w:t xml:space="preserve">in </w:t>
      </w:r>
      <w:r w:rsidRPr="003F665D">
        <w:rPr>
          <w:i/>
        </w:rPr>
        <w:t>Su et al., 2013</w:t>
      </w:r>
      <w:r>
        <w:t xml:space="preserve"> took approximately 8 days </w:t>
      </w:r>
      <w:r w:rsidR="00597FA6">
        <w:t xml:space="preserve">to grow </w:t>
      </w:r>
      <w:r>
        <w:t xml:space="preserve">the final </w:t>
      </w:r>
      <w:r w:rsidR="00597FA6">
        <w:t>particles to a 1:1 ratio of su</w:t>
      </w:r>
      <w:r>
        <w:t xml:space="preserve">lfuric acid to organic component.  </w:t>
      </w:r>
      <w:r w:rsidR="00597FA6" w:rsidRPr="006F1910">
        <w:rPr>
          <w:i/>
        </w:rPr>
        <w:t>Zhu et al., 2011</w:t>
      </w:r>
      <w:r w:rsidR="00597FA6">
        <w:t xml:space="preserve"> and </w:t>
      </w:r>
      <w:proofErr w:type="spellStart"/>
      <w:r w:rsidR="00597FA6" w:rsidRPr="006F1910">
        <w:rPr>
          <w:i/>
        </w:rPr>
        <w:t>Stevanovic</w:t>
      </w:r>
      <w:proofErr w:type="spellEnd"/>
      <w:r w:rsidR="00597FA6" w:rsidRPr="006F1910">
        <w:rPr>
          <w:i/>
        </w:rPr>
        <w:t xml:space="preserve"> et al., 2013</w:t>
      </w:r>
      <w:r w:rsidR="00597FA6">
        <w:t xml:space="preserve"> </w:t>
      </w:r>
      <w:r>
        <w:t>measured</w:t>
      </w:r>
      <w:r w:rsidR="00597FA6">
        <w:t xml:space="preserve"> p</w:t>
      </w:r>
      <w:r>
        <w:t>articles dominantly in</w:t>
      </w:r>
      <w:r w:rsidR="00597FA6">
        <w:t xml:space="preserve"> accumulation mode</w:t>
      </w:r>
      <w:r w:rsidR="009C0700">
        <w:t>,</w:t>
      </w:r>
      <w:r w:rsidR="00597FA6">
        <w:t xml:space="preserve"> </w:t>
      </w:r>
      <w:r w:rsidR="009C0700">
        <w:t>however,</w:t>
      </w:r>
      <w:r w:rsidR="00597FA6">
        <w:t xml:space="preserve"> even after</w:t>
      </w:r>
      <w:r>
        <w:t xml:space="preserve"> the </w:t>
      </w:r>
      <w:r w:rsidR="00597FA6">
        <w:t>condensation of sulfuric acid persisted for over 24 days, the ratio of sulfuric acid to organics did not reach 1:1, but rather 0.65:1.</w:t>
      </w:r>
    </w:p>
    <w:p w14:paraId="2F7AA09B" w14:textId="77777777" w:rsidR="00597FA6" w:rsidRDefault="00597FA6" w:rsidP="009C0700">
      <w:pPr>
        <w:jc w:val="both"/>
      </w:pPr>
    </w:p>
    <w:p w14:paraId="50279E2A" w14:textId="77777777" w:rsidR="00597FA6" w:rsidRPr="00F71BA8" w:rsidRDefault="00597FA6" w:rsidP="009C0700">
      <w:pPr>
        <w:jc w:val="both"/>
        <w:rPr>
          <w:b/>
        </w:rPr>
      </w:pPr>
      <w:r w:rsidRPr="00F71BA8">
        <w:rPr>
          <w:b/>
        </w:rPr>
        <w:t xml:space="preserve">References: </w:t>
      </w:r>
    </w:p>
    <w:p w14:paraId="46382C01" w14:textId="77777777" w:rsidR="000572B3" w:rsidRDefault="000572B3" w:rsidP="009C0700">
      <w:pPr>
        <w:jc w:val="both"/>
      </w:pPr>
    </w:p>
    <w:p w14:paraId="5E097F93" w14:textId="6658B5C8" w:rsidR="007C202A" w:rsidRPr="007C202A" w:rsidRDefault="007C202A" w:rsidP="009C0700">
      <w:pPr>
        <w:ind w:left="720" w:hanging="720"/>
        <w:jc w:val="both"/>
        <w:rPr>
          <w:rFonts w:cs="Courier"/>
        </w:rPr>
      </w:pPr>
      <w:r w:rsidRPr="007C202A">
        <w:rPr>
          <w:rFonts w:cs="Courier"/>
        </w:rPr>
        <w:t xml:space="preserve">Coggon, M. M. and </w:t>
      </w:r>
      <w:proofErr w:type="spellStart"/>
      <w:r w:rsidRPr="007C202A">
        <w:rPr>
          <w:rFonts w:cs="Courier"/>
        </w:rPr>
        <w:t>Sorooshian</w:t>
      </w:r>
      <w:proofErr w:type="spellEnd"/>
      <w:r w:rsidRPr="007C202A">
        <w:rPr>
          <w:rFonts w:cs="Courier"/>
        </w:rPr>
        <w:t xml:space="preserve">, A. and Wang, Z. and Metcalf, A. R. and </w:t>
      </w:r>
      <w:proofErr w:type="spellStart"/>
      <w:r w:rsidRPr="007C202A">
        <w:rPr>
          <w:rFonts w:cs="Courier"/>
        </w:rPr>
        <w:t>Frossard</w:t>
      </w:r>
      <w:proofErr w:type="spellEnd"/>
      <w:r w:rsidRPr="007C202A">
        <w:rPr>
          <w:rFonts w:cs="Courier"/>
        </w:rPr>
        <w:t xml:space="preserve">, A. A. and Lin, J. J. and Craven, J. S. and </w:t>
      </w:r>
      <w:proofErr w:type="spellStart"/>
      <w:r w:rsidRPr="007C202A">
        <w:rPr>
          <w:rFonts w:cs="Courier"/>
        </w:rPr>
        <w:t>Nenes</w:t>
      </w:r>
      <w:proofErr w:type="spellEnd"/>
      <w:r w:rsidRPr="007C202A">
        <w:rPr>
          <w:rFonts w:cs="Courier"/>
        </w:rPr>
        <w:t xml:space="preserve">, A. and </w:t>
      </w:r>
      <w:proofErr w:type="spellStart"/>
      <w:r w:rsidRPr="007C202A">
        <w:rPr>
          <w:rFonts w:cs="Courier"/>
        </w:rPr>
        <w:t>Jonsson</w:t>
      </w:r>
      <w:proofErr w:type="spellEnd"/>
      <w:r w:rsidRPr="007C202A">
        <w:rPr>
          <w:rFonts w:cs="Courier"/>
        </w:rPr>
        <w:t xml:space="preserve">, H. H. and Russell, L. M. and </w:t>
      </w:r>
      <w:proofErr w:type="spellStart"/>
      <w:r w:rsidRPr="007C202A">
        <w:rPr>
          <w:rFonts w:cs="Courier"/>
        </w:rPr>
        <w:t>Flagan</w:t>
      </w:r>
      <w:proofErr w:type="spellEnd"/>
      <w:r w:rsidRPr="007C202A">
        <w:rPr>
          <w:rFonts w:cs="Courier"/>
        </w:rPr>
        <w:t xml:space="preserve">, R. C. and Seinfeld, J. H., Ship impacts on the marine atmosphere: insights into the contribution of shipping emissions to the properties of marine aerosol and clouds, Atmospheric Chemistry and Physics, Volume 12, June 2012, </w:t>
      </w:r>
      <w:r w:rsidR="00FB74DD">
        <w:rPr>
          <w:rFonts w:cs="Courier"/>
        </w:rPr>
        <w:t xml:space="preserve">Pages </w:t>
      </w:r>
      <w:r w:rsidRPr="007C202A">
        <w:rPr>
          <w:rFonts w:cs="Courier"/>
        </w:rPr>
        <w:t>8439-8458.</w:t>
      </w:r>
    </w:p>
    <w:p w14:paraId="6A9E97EF" w14:textId="77777777" w:rsidR="007C202A" w:rsidRPr="007C202A" w:rsidRDefault="007C202A" w:rsidP="009C0700">
      <w:pPr>
        <w:jc w:val="both"/>
        <w:rPr>
          <w:rFonts w:ascii="Courier" w:hAnsi="Courier" w:cs="Courier"/>
          <w:sz w:val="26"/>
          <w:szCs w:val="26"/>
        </w:rPr>
      </w:pPr>
    </w:p>
    <w:p w14:paraId="73FCFCE0" w14:textId="744294FE" w:rsidR="000572B3" w:rsidRPr="000572B3" w:rsidRDefault="000572B3" w:rsidP="009C0700">
      <w:pPr>
        <w:ind w:left="720" w:hanging="720"/>
        <w:jc w:val="both"/>
      </w:pPr>
      <w:proofErr w:type="spellStart"/>
      <w:r w:rsidRPr="000572B3">
        <w:t>Stevanovic</w:t>
      </w:r>
      <w:proofErr w:type="spellEnd"/>
      <w:r w:rsidRPr="000572B3">
        <w:t xml:space="preserve">, S. and </w:t>
      </w:r>
      <w:proofErr w:type="spellStart"/>
      <w:r w:rsidRPr="000572B3">
        <w:t>Miljevic</w:t>
      </w:r>
      <w:proofErr w:type="spellEnd"/>
      <w:r w:rsidRPr="000572B3">
        <w:t xml:space="preserve">, B. and </w:t>
      </w:r>
      <w:proofErr w:type="spellStart"/>
      <w:r w:rsidRPr="000572B3">
        <w:t>Surawski</w:t>
      </w:r>
      <w:proofErr w:type="spellEnd"/>
      <w:r w:rsidRPr="000572B3">
        <w:t xml:space="preserve">, N. C. and </w:t>
      </w:r>
      <w:proofErr w:type="spellStart"/>
      <w:r w:rsidRPr="000572B3">
        <w:t>Fairfull</w:t>
      </w:r>
      <w:proofErr w:type="spellEnd"/>
      <w:r w:rsidRPr="000572B3">
        <w:t xml:space="preserve">-Smith, K. E. and Bottle, S. E. and Brown, R. and </w:t>
      </w:r>
      <w:proofErr w:type="spellStart"/>
      <w:r w:rsidRPr="000572B3">
        <w:t>Ristovski</w:t>
      </w:r>
      <w:proofErr w:type="spellEnd"/>
      <w:r w:rsidRPr="000572B3">
        <w:t>, Z. D., Influence of Oxygenated Organic Aerosols (OOAs) on the Oxidative Potential of Diesel and Biodiesel Particulate Matter, Environmental Science &amp; Technology, Volume 47, June 2013, Pages 7655-7662</w:t>
      </w:r>
      <w:r w:rsidR="00FB74DD">
        <w:t>.</w:t>
      </w:r>
    </w:p>
    <w:p w14:paraId="57CE6C07" w14:textId="77777777" w:rsidR="00597FA6" w:rsidRPr="000572B3" w:rsidRDefault="00597FA6" w:rsidP="009C0700">
      <w:pPr>
        <w:jc w:val="both"/>
      </w:pPr>
    </w:p>
    <w:p w14:paraId="40A2F25A" w14:textId="395ABE39" w:rsidR="000572B3" w:rsidRPr="000572B3" w:rsidRDefault="00597FA6" w:rsidP="009C0700">
      <w:pPr>
        <w:ind w:left="720" w:hanging="720"/>
        <w:jc w:val="both"/>
        <w:rPr>
          <w:rFonts w:cs="Courier"/>
        </w:rPr>
      </w:pPr>
      <w:r w:rsidRPr="000572B3">
        <w:rPr>
          <w:rFonts w:cs="Courier"/>
        </w:rPr>
        <w:t>Su,</w:t>
      </w:r>
      <w:r w:rsidR="000572B3" w:rsidRPr="000572B3">
        <w:rPr>
          <w:rFonts w:cs="Courier"/>
        </w:rPr>
        <w:t xml:space="preserve"> J.,</w:t>
      </w:r>
      <w:r w:rsidRPr="000572B3">
        <w:rPr>
          <w:rFonts w:cs="Courier"/>
        </w:rPr>
        <w:t xml:space="preserve"> </w:t>
      </w:r>
      <w:r w:rsidR="000572B3" w:rsidRPr="000572B3">
        <w:rPr>
          <w:rFonts w:cs="Courier"/>
        </w:rPr>
        <w:t>Zhu, H.</w:t>
      </w:r>
      <w:r w:rsidRPr="000572B3">
        <w:rPr>
          <w:rFonts w:cs="Courier"/>
        </w:rPr>
        <w:t xml:space="preserve">, </w:t>
      </w:r>
      <w:proofErr w:type="spellStart"/>
      <w:r w:rsidR="000572B3" w:rsidRPr="000572B3">
        <w:rPr>
          <w:rFonts w:cs="Courier"/>
        </w:rPr>
        <w:t>Bohac</w:t>
      </w:r>
      <w:proofErr w:type="spellEnd"/>
      <w:r w:rsidR="000572B3" w:rsidRPr="000572B3">
        <w:rPr>
          <w:rFonts w:cs="Courier"/>
        </w:rPr>
        <w:t>, S. V.</w:t>
      </w:r>
      <w:r w:rsidRPr="000572B3">
        <w:rPr>
          <w:rFonts w:cs="Courier"/>
        </w:rPr>
        <w:t>, Particulate matter emission comparison from conventional and premixed low temperature combustion with diesel, biodiesel and biodiesel–ethanol fuels, Fuel, Volume 113, November 2013, Pages 221-227</w:t>
      </w:r>
      <w:r w:rsidR="00FB74DD">
        <w:rPr>
          <w:rFonts w:cs="Courier"/>
        </w:rPr>
        <w:t>.</w:t>
      </w:r>
    </w:p>
    <w:p w14:paraId="59C2D4EB" w14:textId="77777777" w:rsidR="00597FA6" w:rsidRPr="000572B3" w:rsidRDefault="00597FA6" w:rsidP="009C0700">
      <w:pPr>
        <w:jc w:val="both"/>
        <w:rPr>
          <w:rFonts w:cs="Courier"/>
        </w:rPr>
      </w:pPr>
    </w:p>
    <w:p w14:paraId="78EF4BB1" w14:textId="77777777" w:rsidR="000572B3" w:rsidRPr="000572B3" w:rsidRDefault="000572B3" w:rsidP="009C0700">
      <w:pPr>
        <w:ind w:left="720" w:hanging="720"/>
        <w:jc w:val="both"/>
      </w:pPr>
      <w:r w:rsidRPr="000572B3">
        <w:t xml:space="preserve">Zhu, </w:t>
      </w:r>
      <w:proofErr w:type="spellStart"/>
      <w:r w:rsidRPr="000572B3">
        <w:t>Ruijin</w:t>
      </w:r>
      <w:proofErr w:type="spellEnd"/>
      <w:r w:rsidRPr="000572B3">
        <w:t>, Cheung, C. S.,</w:t>
      </w:r>
      <w:r w:rsidR="00597FA6" w:rsidRPr="000572B3">
        <w:t xml:space="preserve"> Huang, </w:t>
      </w:r>
      <w:proofErr w:type="spellStart"/>
      <w:r w:rsidR="00597FA6" w:rsidRPr="000572B3">
        <w:t>Zuohua</w:t>
      </w:r>
      <w:proofErr w:type="spellEnd"/>
      <w:r w:rsidRPr="000572B3">
        <w:t>, Particulate Emission Characteristics of a Compression Ignition Engine Fueled with Diesel–DMC Blends, Aerosol Science and Technology, Volume 45</w:t>
      </w:r>
      <w:proofErr w:type="gramStart"/>
      <w:r w:rsidRPr="000572B3">
        <w:t>,  2011</w:t>
      </w:r>
      <w:proofErr w:type="gramEnd"/>
      <w:r w:rsidRPr="000572B3">
        <w:t>, Pages 137-147.</w:t>
      </w:r>
    </w:p>
    <w:p w14:paraId="2662EB78" w14:textId="0F37ACB5" w:rsidR="00597FA6" w:rsidRDefault="00597FA6" w:rsidP="009C0700">
      <w:pPr>
        <w:jc w:val="both"/>
      </w:pPr>
      <w:r>
        <w:br w:type="page"/>
      </w:r>
    </w:p>
    <w:p w14:paraId="697A8131" w14:textId="200CCEB6" w:rsidR="00FC5507" w:rsidRDefault="001239E0" w:rsidP="009C0700">
      <w:pPr>
        <w:widowControl w:val="0"/>
        <w:autoSpaceDE w:val="0"/>
        <w:autoSpaceDN w:val="0"/>
        <w:adjustRightInd w:val="0"/>
        <w:spacing w:after="240"/>
        <w:ind w:firstLine="720"/>
        <w:jc w:val="both"/>
        <w:rPr>
          <w:i/>
          <w:iCs/>
        </w:rPr>
      </w:pPr>
      <w:r>
        <w:t xml:space="preserve">As energy and environmental pressures increase, </w:t>
      </w:r>
      <w:r w:rsidR="00614710">
        <w:t>interests</w:t>
      </w:r>
      <w:r>
        <w:t xml:space="preserve"> in biofuels such as biodiesel</w:t>
      </w:r>
      <w:r w:rsidR="00614710">
        <w:t xml:space="preserve"> and ethanol continue to grow.  The pollutant </w:t>
      </w:r>
      <w:proofErr w:type="gramStart"/>
      <w:r w:rsidR="00614710">
        <w:t>emissions from diesel engines has</w:t>
      </w:r>
      <w:proofErr w:type="gramEnd"/>
      <w:r w:rsidR="00614710">
        <w:t xml:space="preserve"> </w:t>
      </w:r>
      <w:r w:rsidR="00A27D3E">
        <w:t>a direct correlation to the chemical structure of the molecules in the fuel</w:t>
      </w:r>
      <w:r w:rsidR="00FC5507">
        <w:t xml:space="preserve"> </w:t>
      </w:r>
      <w:r w:rsidR="00614710">
        <w:t>(</w:t>
      </w:r>
      <w:proofErr w:type="spellStart"/>
      <w:r w:rsidR="00614710">
        <w:t>Stevanovic</w:t>
      </w:r>
      <w:proofErr w:type="spellEnd"/>
      <w:r w:rsidR="00614710">
        <w:t xml:space="preserve"> et al., 2013).</w:t>
      </w:r>
      <w:r w:rsidR="00A27D3E">
        <w:t xml:space="preserve"> </w:t>
      </w:r>
      <w:proofErr w:type="gramStart"/>
      <w:r w:rsidR="00A27D3E">
        <w:t>and</w:t>
      </w:r>
      <w:proofErr w:type="gramEnd"/>
      <w:r w:rsidR="00A27D3E">
        <w:t xml:space="preserve"> in particular the size and composition of particles, have been shown to change with different biofuels and engine combustion modes.  Particles size distributions from diesel engines running on </w:t>
      </w:r>
      <w:proofErr w:type="spellStart"/>
      <w:r w:rsidR="00A27D3E">
        <w:t>biofuel</w:t>
      </w:r>
      <w:proofErr w:type="gramStart"/>
      <w:r w:rsidR="00A27D3E">
        <w:t>,increase</w:t>
      </w:r>
      <w:proofErr w:type="spellEnd"/>
      <w:proofErr w:type="gramEnd"/>
      <w:r w:rsidR="00A27D3E">
        <w:t xml:space="preserve"> nucleation mode particles relative to diesel (Su et al., 2013).  This shift may be caused by more </w:t>
      </w:r>
      <w:proofErr w:type="spellStart"/>
      <w:r w:rsidR="00A27D3E">
        <w:t>semivolatile</w:t>
      </w:r>
      <w:proofErr w:type="spellEnd"/>
      <w:r w:rsidR="00A27D3E">
        <w:t xml:space="preserve"> organic carbon in the </w:t>
      </w:r>
      <w:proofErr w:type="spellStart"/>
      <w:r w:rsidR="00A27D3E">
        <w:t>exhahust</w:t>
      </w:r>
      <w:proofErr w:type="spellEnd"/>
      <w:r w:rsidR="00A27D3E">
        <w:t xml:space="preserve"> </w:t>
      </w:r>
      <w:proofErr w:type="spellStart"/>
      <w:r w:rsidR="00A27D3E">
        <w:t>causeing</w:t>
      </w:r>
      <w:proofErr w:type="spellEnd"/>
      <w:r w:rsidR="00A27D3E">
        <w:t xml:space="preserve"> an increase in the growth on particles nucleated from volatile species.</w:t>
      </w:r>
      <w:r w:rsidR="00804FC6">
        <w:t xml:space="preserve">  More oxidized fewer particles emitted (higher </w:t>
      </w:r>
      <w:proofErr w:type="spellStart"/>
      <w:r w:rsidR="00804FC6">
        <w:t>soluable</w:t>
      </w:r>
      <w:proofErr w:type="spellEnd"/>
      <w:r w:rsidR="00804FC6">
        <w:t xml:space="preserve"> organic fraction).  Dimethyl carbonate, which increases the mass of oxygen in </w:t>
      </w:r>
      <w:proofErr w:type="gramStart"/>
      <w:r w:rsidR="00804FC6" w:rsidRPr="00804FC6">
        <w:t>biofuels</w:t>
      </w:r>
      <w:proofErr w:type="gramEnd"/>
      <w:r w:rsidR="00804FC6" w:rsidRPr="00804FC6">
        <w:t xml:space="preserve"> had been show to shift the geometric mean </w:t>
      </w:r>
      <w:proofErr w:type="spellStart"/>
      <w:r w:rsidR="00804FC6" w:rsidRPr="00804FC6">
        <w:t>dimater</w:t>
      </w:r>
      <w:proofErr w:type="spellEnd"/>
      <w:r w:rsidR="00804FC6" w:rsidRPr="00804FC6">
        <w:t xml:space="preserve"> of particles towards smaller size in </w:t>
      </w:r>
      <w:proofErr w:type="spellStart"/>
      <w:r w:rsidR="00804FC6" w:rsidRPr="00804FC6">
        <w:t>compartison</w:t>
      </w:r>
      <w:proofErr w:type="spellEnd"/>
      <w:r w:rsidR="00804FC6" w:rsidRPr="00804FC6">
        <w:t xml:space="preserve"> the diesel fuel (Zhu et al., 2011).  Interestingly, the total number of particles can be reduced with the use of diesel oxidation catalyst (DOC), reducing finer particles.  </w:t>
      </w:r>
      <w:r w:rsidR="00804FC6" w:rsidRPr="00804FC6">
        <w:br/>
      </w:r>
      <w:r w:rsidR="00804FC6">
        <w:tab/>
        <w:t>In this project</w:t>
      </w:r>
      <w:r w:rsidR="00814203">
        <w:t xml:space="preserve">, various </w:t>
      </w:r>
      <w:r w:rsidR="00804FC6">
        <w:t xml:space="preserve">size distributions </w:t>
      </w:r>
      <w:r w:rsidR="00814203">
        <w:t>of pollutant emissions from diesel engin</w:t>
      </w:r>
      <w:r w:rsidR="00FC5507">
        <w:t xml:space="preserve">es running on biodiesel fuel from </w:t>
      </w:r>
      <w:r w:rsidR="00FC5507">
        <w:rPr>
          <w:i/>
          <w:iCs/>
        </w:rPr>
        <w:t xml:space="preserve">Su et al., 2013, </w:t>
      </w:r>
      <w:proofErr w:type="spellStart"/>
      <w:r w:rsidR="00FC5507" w:rsidRPr="00E00EA6">
        <w:rPr>
          <w:i/>
          <w:iCs/>
        </w:rPr>
        <w:t>Stevanovic</w:t>
      </w:r>
      <w:proofErr w:type="spellEnd"/>
      <w:r w:rsidR="00FC5507" w:rsidRPr="00E00EA6">
        <w:rPr>
          <w:i/>
          <w:iCs/>
        </w:rPr>
        <w:t xml:space="preserve"> et al., 2013</w:t>
      </w:r>
      <w:r w:rsidR="00FC5507" w:rsidRPr="00E00EA6">
        <w:t xml:space="preserve"> and </w:t>
      </w:r>
      <w:r w:rsidR="00FC5507">
        <w:rPr>
          <w:i/>
          <w:iCs/>
        </w:rPr>
        <w:t xml:space="preserve">Zhu et al., 2011 </w:t>
      </w:r>
      <w:r w:rsidR="00FC5507">
        <w:t>are</w:t>
      </w:r>
      <w:r w:rsidR="00814203">
        <w:t xml:space="preserve"> examined to predict their growth from the condensation of sulfuric acid. </w:t>
      </w:r>
      <w:r w:rsidR="00FC5507">
        <w:t xml:space="preserve"> </w:t>
      </w:r>
      <w:r w:rsidR="00FC5507" w:rsidRPr="00E00EA6">
        <w:t>To simulate condensation of sulfuric acid onto particles</w:t>
      </w:r>
      <w:r w:rsidR="00814203">
        <w:t xml:space="preserve"> </w:t>
      </w:r>
      <w:r w:rsidR="00FC5507">
        <w:t>the</w:t>
      </w:r>
      <w:r w:rsidR="00E00EA6" w:rsidRPr="00E00EA6">
        <w:t xml:space="preserve"> Condensation Size Distribution Model from</w:t>
      </w:r>
      <w:r w:rsidR="00FC5507">
        <w:t xml:space="preserve"> </w:t>
      </w:r>
      <w:hyperlink r:id="rId6" w:history="1">
        <w:r w:rsidR="00E00EA6" w:rsidRPr="00E00EA6">
          <w:rPr>
            <w:rStyle w:val="Hyperlink"/>
          </w:rPr>
          <w:t>http://aerosols.ucsd.edu/</w:t>
        </w:r>
      </w:hyperlink>
      <w:hyperlink r:id="rId7" w:history="1">
        <w:r w:rsidR="00E00EA6" w:rsidRPr="00E00EA6">
          <w:rPr>
            <w:rStyle w:val="Hyperlink"/>
          </w:rPr>
          <w:t>aerosolsinmotion.html</w:t>
        </w:r>
      </w:hyperlink>
      <w:r w:rsidR="00E00EA6" w:rsidRPr="00E00EA6">
        <w:t xml:space="preserve"> </w:t>
      </w:r>
      <w:r w:rsidR="00FC5507">
        <w:t>was used to</w:t>
      </w:r>
      <w:r w:rsidR="00E00EA6" w:rsidRPr="00E00EA6">
        <w:t xml:space="preserve"> determine the growth of the three distributions</w:t>
      </w:r>
      <w:r w:rsidR="00E00EA6">
        <w:t xml:space="preserve">. </w:t>
      </w:r>
      <w:r w:rsidR="00FC5507">
        <w:t xml:space="preserve"> Included this model was the</w:t>
      </w:r>
      <w:r w:rsidR="00E00EA6" w:rsidRPr="00E00EA6">
        <w:t xml:space="preserve"> Condensation Rate Equation (Eq. 11.29 from Seinfeld and </w:t>
      </w:r>
      <w:proofErr w:type="spellStart"/>
      <w:r w:rsidR="00E00EA6" w:rsidRPr="00E00EA6">
        <w:t>Pandis</w:t>
      </w:r>
      <w:proofErr w:type="spellEnd"/>
      <w:r w:rsidR="00E00EA6" w:rsidRPr="00E00EA6">
        <w:t>).</w:t>
      </w:r>
    </w:p>
    <w:p w14:paraId="7B938CB2" w14:textId="16917852" w:rsidR="00FC5507" w:rsidRDefault="00FC5507" w:rsidP="009C0700">
      <w:pPr>
        <w:widowControl w:val="0"/>
        <w:autoSpaceDE w:val="0"/>
        <w:autoSpaceDN w:val="0"/>
        <w:adjustRightInd w:val="0"/>
        <w:spacing w:after="240"/>
        <w:ind w:firstLine="720"/>
        <w:jc w:val="both"/>
      </w:pPr>
      <w:proofErr w:type="spellStart"/>
      <w:r w:rsidRPr="00FC5507">
        <w:rPr>
          <w:i/>
          <w:iCs/>
        </w:rPr>
        <w:t>S</w:t>
      </w:r>
      <w:r w:rsidR="00E00EA6" w:rsidRPr="00FC5507">
        <w:rPr>
          <w:i/>
          <w:iCs/>
        </w:rPr>
        <w:t>tevanovic</w:t>
      </w:r>
      <w:proofErr w:type="spellEnd"/>
      <w:r w:rsidR="00E00EA6" w:rsidRPr="00FC5507">
        <w:rPr>
          <w:i/>
          <w:iCs/>
        </w:rPr>
        <w:t xml:space="preserve"> et al., 2013</w:t>
      </w:r>
      <w:r w:rsidR="00E00EA6" w:rsidRPr="00E00EA6">
        <w:t xml:space="preserve"> and </w:t>
      </w:r>
      <w:r w:rsidR="00E00EA6" w:rsidRPr="00FC5507">
        <w:rPr>
          <w:i/>
          <w:iCs/>
        </w:rPr>
        <w:t xml:space="preserve">Zhu et al., 2013 </w:t>
      </w:r>
      <w:r w:rsidR="00E00EA6" w:rsidRPr="00E00EA6">
        <w:t xml:space="preserve">both had </w:t>
      </w:r>
      <w:proofErr w:type="gramStart"/>
      <w:r w:rsidR="00E00EA6" w:rsidRPr="00E00EA6">
        <w:t>initial  distributions</w:t>
      </w:r>
      <w:proofErr w:type="gramEnd"/>
      <w:r w:rsidR="00E00EA6" w:rsidRPr="00E00EA6">
        <w:t xml:space="preserve"> predominantly in Aitken and accumulation mode (</w:t>
      </w:r>
      <w:proofErr w:type="spellStart"/>
      <w:r w:rsidR="00E00EA6" w:rsidRPr="00E00EA6">
        <w:t>appx</w:t>
      </w:r>
      <w:proofErr w:type="spellEnd"/>
      <w:r w:rsidR="00E00EA6" w:rsidRPr="00E00EA6">
        <w:t xml:space="preserve">. diameter 0.1 </w:t>
      </w:r>
      <w:proofErr w:type="spellStart"/>
      <w:r w:rsidR="00E00EA6" w:rsidRPr="00E00EA6">
        <w:t>μm</w:t>
      </w:r>
      <w:proofErr w:type="spellEnd"/>
      <w:r w:rsidR="00E00EA6" w:rsidRPr="00E00EA6">
        <w:t>). The condensation of sulfuric acid d</w:t>
      </w:r>
      <w:r>
        <w:t xml:space="preserve">id not affect the diameter of the size distribution relative to </w:t>
      </w:r>
      <w:r w:rsidRPr="00FC5507">
        <w:rPr>
          <w:i/>
          <w:iCs/>
        </w:rPr>
        <w:t xml:space="preserve">Su et al., 2013 </w:t>
      </w:r>
      <w:r w:rsidR="00E00EA6" w:rsidRPr="00E00EA6">
        <w:t>because the diameter was large relative to the amount of vapor condensed.</w:t>
      </w:r>
      <w:r w:rsidRPr="00FC5507">
        <w:rPr>
          <w:i/>
          <w:iCs/>
        </w:rPr>
        <w:t xml:space="preserve"> </w:t>
      </w:r>
      <w:r w:rsidR="00E00EA6" w:rsidRPr="00FC5507">
        <w:rPr>
          <w:i/>
          <w:iCs/>
        </w:rPr>
        <w:t xml:space="preserve">Su et al., 2013 </w:t>
      </w:r>
      <w:r w:rsidR="00E00EA6" w:rsidRPr="00E00EA6">
        <w:t xml:space="preserve">measured particles in nucleation mode (diameter of 0.001-0.01 </w:t>
      </w:r>
      <w:proofErr w:type="spellStart"/>
      <w:r w:rsidR="00E00EA6" w:rsidRPr="00E00EA6">
        <w:t>μm</w:t>
      </w:r>
      <w:proofErr w:type="spellEnd"/>
      <w:r w:rsidR="00E00EA6" w:rsidRPr="00E00EA6">
        <w:t xml:space="preserve">), thus the condensation of sulfuric acid had a greater affect on mean diameter size and the growth of particles can be seen in the </w:t>
      </w:r>
      <w:r w:rsidR="00E00EA6" w:rsidRPr="00FC5507">
        <w:rPr>
          <w:i/>
          <w:iCs/>
        </w:rPr>
        <w:t xml:space="preserve">Su et al., 2013 </w:t>
      </w:r>
      <w:r>
        <w:t>graph.</w:t>
      </w:r>
    </w:p>
    <w:p w14:paraId="2866B96B" w14:textId="77777777" w:rsidR="00597FA6" w:rsidRDefault="00E00EA6" w:rsidP="009C0700">
      <w:pPr>
        <w:widowControl w:val="0"/>
        <w:autoSpaceDE w:val="0"/>
        <w:autoSpaceDN w:val="0"/>
        <w:adjustRightInd w:val="0"/>
        <w:spacing w:after="240"/>
        <w:ind w:firstLine="720"/>
        <w:jc w:val="both"/>
        <w:rPr>
          <w:i/>
          <w:iCs/>
        </w:rPr>
      </w:pPr>
      <w:r w:rsidRPr="00E00EA6">
        <w:t>Coggon et al., 2012 measured ship impacts on marine aerosol during the E-PEACE campaign. The organics, sulfate, and total OM were measured</w:t>
      </w:r>
      <w:r w:rsidR="00FC5507">
        <w:t xml:space="preserve"> in the emissions</w:t>
      </w:r>
      <w:r w:rsidRPr="00E00EA6">
        <w:t xml:space="preserve">.  Measurements of in cloud aerosols contained 47% more sulfate than organics.  </w:t>
      </w:r>
      <w:r w:rsidR="00597FA6">
        <w:t xml:space="preserve">The </w:t>
      </w:r>
      <w:r w:rsidRPr="00E00EA6">
        <w:t>particles from initial size distributions were assumed to be composed of 100% organics an</w:t>
      </w:r>
      <w:r w:rsidR="00597FA6">
        <w:t>d the Condensation Model was used to model the results</w:t>
      </w:r>
      <w:r w:rsidRPr="00E00EA6">
        <w:t>.</w:t>
      </w:r>
    </w:p>
    <w:p w14:paraId="3B5C9098" w14:textId="58DFD010" w:rsidR="00264A9E" w:rsidRPr="00597FA6" w:rsidRDefault="00E00EA6" w:rsidP="009C0700">
      <w:pPr>
        <w:widowControl w:val="0"/>
        <w:autoSpaceDE w:val="0"/>
        <w:autoSpaceDN w:val="0"/>
        <w:adjustRightInd w:val="0"/>
        <w:spacing w:after="240"/>
        <w:ind w:firstLine="720"/>
        <w:jc w:val="both"/>
        <w:rPr>
          <w:i/>
          <w:iCs/>
        </w:rPr>
      </w:pPr>
      <w:r w:rsidRPr="00E00EA6">
        <w:t xml:space="preserve">Particles emitted at &lt;0.10 </w:t>
      </w:r>
      <w:proofErr w:type="spellStart"/>
      <w:r w:rsidRPr="00E00EA6">
        <w:t>μm</w:t>
      </w:r>
      <w:proofErr w:type="spellEnd"/>
      <w:r w:rsidRPr="00E00EA6">
        <w:t xml:space="preserve"> in diameter are composed of a larger fraction sulfuric acid than particles </w:t>
      </w:r>
      <w:proofErr w:type="gramStart"/>
      <w:r w:rsidRPr="00E00EA6">
        <w:t xml:space="preserve">≥0.10  </w:t>
      </w:r>
      <w:proofErr w:type="spellStart"/>
      <w:r w:rsidRPr="00E00EA6">
        <w:t>μm</w:t>
      </w:r>
      <w:proofErr w:type="spellEnd"/>
      <w:proofErr w:type="gramEnd"/>
      <w:r w:rsidRPr="00E00EA6">
        <w:t xml:space="preserve"> in diameter. The particles in the accumulation mode and larger half of Aitken mode are less affected by the condensation of sulfuric acid than particles in nucleation and the lower bound of Aitken mode.</w:t>
      </w:r>
      <w:r w:rsidR="00597FA6">
        <w:rPr>
          <w:i/>
          <w:iCs/>
        </w:rPr>
        <w:t xml:space="preserve"> </w:t>
      </w:r>
      <w:r w:rsidRPr="00597FA6">
        <w:rPr>
          <w:i/>
        </w:rPr>
        <w:t>Su et al., 2013</w:t>
      </w:r>
      <w:r w:rsidRPr="00E00EA6">
        <w:t xml:space="preserve"> contained particles in nucleation and Aitken mode, thus it took a very short period of time to grow particles to a 1:1 ratio of sulfuric acid to organics</w:t>
      </w:r>
      <w:proofErr w:type="gramStart"/>
      <w:r w:rsidRPr="00E00EA6">
        <w:t>;  approximately</w:t>
      </w:r>
      <w:proofErr w:type="gramEnd"/>
      <w:r w:rsidRPr="00E00EA6">
        <w:t xml:space="preserve"> 8 days. (</w:t>
      </w:r>
      <w:proofErr w:type="gramStart"/>
      <w:r w:rsidRPr="00E00EA6">
        <w:t>more</w:t>
      </w:r>
      <w:proofErr w:type="gramEnd"/>
      <w:r w:rsidRPr="00E00EA6">
        <w:t xml:space="preserve"> particles?)</w:t>
      </w:r>
      <w:r w:rsidR="00597FA6">
        <w:rPr>
          <w:i/>
          <w:iCs/>
        </w:rPr>
        <w:t xml:space="preserve"> </w:t>
      </w:r>
      <w:r w:rsidRPr="00597FA6">
        <w:rPr>
          <w:i/>
        </w:rPr>
        <w:t xml:space="preserve">Zhu et al., 2011 and </w:t>
      </w:r>
      <w:proofErr w:type="spellStart"/>
      <w:r w:rsidRPr="00597FA6">
        <w:rPr>
          <w:i/>
        </w:rPr>
        <w:t>Stevanovic</w:t>
      </w:r>
      <w:proofErr w:type="spellEnd"/>
      <w:r w:rsidRPr="00597FA6">
        <w:rPr>
          <w:i/>
        </w:rPr>
        <w:t xml:space="preserve"> et al., 2013</w:t>
      </w:r>
      <w:r w:rsidRPr="00E00EA6">
        <w:t xml:space="preserve"> all contained particles in the upper bound of Aitken mode and accumulation mode and even after condensation of sulfuric acid persisted for over 24 </w:t>
      </w:r>
      <w:proofErr w:type="gramStart"/>
      <w:r w:rsidRPr="00E00EA6">
        <w:t>days,</w:t>
      </w:r>
      <w:proofErr w:type="gramEnd"/>
      <w:r w:rsidRPr="00E00EA6">
        <w:t xml:space="preserve"> the ratio of sulfuric acid to organics did not reach 1:1, but rather 0.65:1.</w:t>
      </w:r>
    </w:p>
    <w:p w14:paraId="580F92D4" w14:textId="77777777" w:rsidR="00E00EA6" w:rsidRPr="00E00EA6" w:rsidRDefault="00E00EA6" w:rsidP="009C0700">
      <w:pPr>
        <w:widowControl w:val="0"/>
        <w:autoSpaceDE w:val="0"/>
        <w:autoSpaceDN w:val="0"/>
        <w:adjustRightInd w:val="0"/>
        <w:spacing w:after="240"/>
        <w:jc w:val="both"/>
      </w:pPr>
    </w:p>
    <w:p w14:paraId="45E17218" w14:textId="77777777" w:rsidR="00E00EA6" w:rsidRPr="00804FC6" w:rsidRDefault="00E00EA6" w:rsidP="009C0700">
      <w:pPr>
        <w:widowControl w:val="0"/>
        <w:autoSpaceDE w:val="0"/>
        <w:autoSpaceDN w:val="0"/>
        <w:adjustRightInd w:val="0"/>
        <w:spacing w:after="240"/>
        <w:ind w:firstLine="720"/>
        <w:jc w:val="both"/>
      </w:pPr>
    </w:p>
    <w:p w14:paraId="2207062A" w14:textId="77777777" w:rsidR="00A27D3E" w:rsidRDefault="00804FC6" w:rsidP="009C0700">
      <w:pPr>
        <w:widowControl w:val="0"/>
        <w:autoSpaceDE w:val="0"/>
        <w:autoSpaceDN w:val="0"/>
        <w:adjustRightInd w:val="0"/>
        <w:spacing w:after="240"/>
        <w:jc w:val="both"/>
      </w:pPr>
      <w:r>
        <w:rPr>
          <w:rFonts w:ascii="Times" w:hAnsi="Times" w:cs="Times"/>
          <w:b/>
          <w:bCs/>
        </w:rPr>
        <w:t xml:space="preserve">The geometric mean diameter of the particles </w:t>
      </w:r>
      <w:proofErr w:type="spellStart"/>
      <w:r>
        <w:rPr>
          <w:rFonts w:ascii="Times" w:hAnsi="Times" w:cs="Times"/>
          <w:b/>
          <w:bCs/>
        </w:rPr>
        <w:t>shirtfs</w:t>
      </w:r>
      <w:proofErr w:type="spellEnd"/>
      <w:r>
        <w:rPr>
          <w:rFonts w:ascii="Times" w:hAnsi="Times" w:cs="Times"/>
          <w:b/>
          <w:bCs/>
        </w:rPr>
        <w:t xml:space="preserve"> towards smaller size in comparison with that of the diesel fuel.  </w:t>
      </w:r>
    </w:p>
    <w:p w14:paraId="02844623" w14:textId="77777777" w:rsidR="00614710" w:rsidRDefault="00A27D3E" w:rsidP="009C0700">
      <w:pPr>
        <w:widowControl w:val="0"/>
        <w:autoSpaceDE w:val="0"/>
        <w:autoSpaceDN w:val="0"/>
        <w:adjustRightInd w:val="0"/>
        <w:spacing w:after="240"/>
        <w:jc w:val="both"/>
      </w:pPr>
      <w:r>
        <w:t xml:space="preserve"> </w:t>
      </w:r>
      <w:proofErr w:type="gramStart"/>
      <w:r>
        <w:t>such</w:t>
      </w:r>
      <w:proofErr w:type="gramEnd"/>
      <w:r>
        <w:t xml:space="preserve"> as a low temperature combustion (LTC) increases nucleation mode particles relative  </w:t>
      </w:r>
      <w:r w:rsidR="00614710">
        <w:t xml:space="preserve">  </w:t>
      </w:r>
    </w:p>
    <w:p w14:paraId="27836E21" w14:textId="77777777" w:rsidR="00614710" w:rsidRDefault="00614710" w:rsidP="009C0700">
      <w:pPr>
        <w:widowControl w:val="0"/>
        <w:autoSpaceDE w:val="0"/>
        <w:autoSpaceDN w:val="0"/>
        <w:adjustRightInd w:val="0"/>
        <w:spacing w:after="240"/>
        <w:jc w:val="both"/>
      </w:pPr>
    </w:p>
    <w:p w14:paraId="7824B16B" w14:textId="77777777" w:rsidR="00614710" w:rsidRDefault="00614710" w:rsidP="009C0700">
      <w:pPr>
        <w:widowControl w:val="0"/>
        <w:autoSpaceDE w:val="0"/>
        <w:autoSpaceDN w:val="0"/>
        <w:adjustRightInd w:val="0"/>
        <w:spacing w:after="240"/>
        <w:jc w:val="both"/>
      </w:pPr>
    </w:p>
    <w:p w14:paraId="32B74704" w14:textId="77777777" w:rsidR="004A14B0" w:rsidRPr="00AC0830" w:rsidRDefault="00614710" w:rsidP="009C0700">
      <w:pPr>
        <w:widowControl w:val="0"/>
        <w:autoSpaceDE w:val="0"/>
        <w:autoSpaceDN w:val="0"/>
        <w:adjustRightInd w:val="0"/>
        <w:spacing w:after="240"/>
        <w:jc w:val="both"/>
        <w:rPr>
          <w:rFonts w:ascii="Times" w:hAnsi="Times" w:cs="Times"/>
        </w:rPr>
      </w:pPr>
      <w:r>
        <w:t>T</w:t>
      </w:r>
      <w:r w:rsidR="001239E0">
        <w:t xml:space="preserve">he magnitude of </w:t>
      </w:r>
      <w:r>
        <w:t>pollutant</w:t>
      </w:r>
      <w:r w:rsidR="001239E0">
        <w:t xml:space="preserve"> emissions from diesel engines running on biodiesel </w:t>
      </w:r>
      <w:r>
        <w:t>fuel</w:t>
      </w:r>
      <w:r w:rsidR="001239E0">
        <w:t xml:space="preserve"> is coupled to the </w:t>
      </w:r>
      <w:r>
        <w:t>structure</w:t>
      </w:r>
      <w:r w:rsidR="001239E0">
        <w:t xml:space="preserve"> of the molecular structure of the fuel (</w:t>
      </w:r>
      <w:proofErr w:type="spellStart"/>
      <w:r w:rsidR="001239E0" w:rsidRPr="00AC0830">
        <w:rPr>
          <w:color w:val="B2A1C7" w:themeColor="accent4" w:themeTint="99"/>
        </w:rPr>
        <w:t>Stevanovic</w:t>
      </w:r>
      <w:proofErr w:type="spellEnd"/>
      <w:r w:rsidR="001239E0" w:rsidRPr="00AC0830">
        <w:rPr>
          <w:color w:val="B2A1C7" w:themeColor="accent4" w:themeTint="99"/>
        </w:rPr>
        <w:t xml:space="preserve"> et al., 2013)</w:t>
      </w:r>
      <w:r w:rsidR="00AC0830" w:rsidRPr="00AC0830">
        <w:rPr>
          <w:color w:val="B2A1C7" w:themeColor="accent4" w:themeTint="99"/>
        </w:rPr>
        <w:t xml:space="preserve"> [</w:t>
      </w:r>
      <w:r w:rsidR="00AC0830" w:rsidRPr="00AC0830">
        <w:rPr>
          <w:rFonts w:ascii="Times" w:hAnsi="Times" w:cs="Times"/>
          <w:color w:val="B2A1C7" w:themeColor="accent4" w:themeTint="99"/>
          <w:sz w:val="26"/>
          <w:szCs w:val="26"/>
        </w:rPr>
        <w:t>diesel engine running on different biofuels</w:t>
      </w:r>
      <w:r w:rsidR="00AC0830">
        <w:rPr>
          <w:rFonts w:ascii="Times" w:hAnsi="Times" w:cs="Times"/>
          <w:color w:val="B2A1C7" w:themeColor="accent4" w:themeTint="99"/>
          <w:sz w:val="26"/>
          <w:szCs w:val="26"/>
        </w:rPr>
        <w:t xml:space="preserve"> </w:t>
      </w:r>
      <w:r w:rsidR="00AC0830" w:rsidRPr="00AC0830">
        <w:rPr>
          <w:rFonts w:ascii="Times" w:hAnsi="Times" w:cs="Times"/>
          <w:color w:val="B2A1C7" w:themeColor="accent4" w:themeTint="99"/>
          <w:sz w:val="26"/>
          <w:szCs w:val="26"/>
        </w:rPr>
        <w:t>Particulate emission measurements were performed on a Euro III Cummins diesel engine coupled to a water brake dynamometer</w:t>
      </w:r>
      <w:proofErr w:type="gramStart"/>
      <w:r w:rsidR="00AC0830">
        <w:rPr>
          <w:rFonts w:ascii="Times" w:hAnsi="Times" w:cs="Times"/>
          <w:sz w:val="26"/>
          <w:szCs w:val="26"/>
        </w:rPr>
        <w:t>.</w:t>
      </w:r>
      <w:r w:rsidR="00AC0830" w:rsidRPr="00AC0830">
        <w:rPr>
          <w:rFonts w:ascii="Times" w:hAnsi="Times" w:cs="Times"/>
          <w:color w:val="B2A1C7" w:themeColor="accent4" w:themeTint="99"/>
          <w:sz w:val="26"/>
          <w:szCs w:val="26"/>
        </w:rPr>
        <w:t xml:space="preserve"> </w:t>
      </w:r>
      <w:r w:rsidR="00AC0830" w:rsidRPr="00AC0830">
        <w:rPr>
          <w:color w:val="B2A1C7" w:themeColor="accent4" w:themeTint="99"/>
        </w:rPr>
        <w:t>]</w:t>
      </w:r>
      <w:proofErr w:type="gramEnd"/>
      <w:r w:rsidR="001239E0">
        <w:t xml:space="preserve">.  Emissions from a diesel engine running on different biofuels were </w:t>
      </w:r>
      <w:proofErr w:type="spellStart"/>
      <w:r w:rsidR="001239E0">
        <w:t>analyzd</w:t>
      </w:r>
      <w:proofErr w:type="spellEnd"/>
      <w:r w:rsidR="001239E0">
        <w:t xml:space="preserve"> in detail to explore the role that different organic </w:t>
      </w:r>
      <w:proofErr w:type="spellStart"/>
      <w:r w:rsidR="001239E0">
        <w:t>feactions</w:t>
      </w:r>
      <w:proofErr w:type="spellEnd"/>
      <w:r w:rsidR="001239E0">
        <w:t xml:space="preserve"> play in….</w:t>
      </w:r>
      <w:r w:rsidR="000C0FE8">
        <w:t xml:space="preserve">  Low emission diesel combustion modes, such as </w:t>
      </w:r>
      <w:proofErr w:type="spellStart"/>
      <w:r w:rsidR="000C0FE8">
        <w:t>premxed</w:t>
      </w:r>
      <w:proofErr w:type="spellEnd"/>
      <w:r w:rsidR="000C0FE8">
        <w:t xml:space="preserve"> low temperature </w:t>
      </w:r>
      <w:proofErr w:type="gramStart"/>
      <w:r w:rsidR="000C0FE8">
        <w:t>combustion(</w:t>
      </w:r>
      <w:proofErr w:type="gramEnd"/>
      <w:r w:rsidR="000C0FE8">
        <w:t xml:space="preserve">LTC) are also of </w:t>
      </w:r>
      <w:proofErr w:type="spellStart"/>
      <w:r w:rsidR="000C0FE8">
        <w:t>interst</w:t>
      </w:r>
      <w:proofErr w:type="spellEnd"/>
      <w:r w:rsidR="000C0FE8">
        <w:t xml:space="preserve">.  </w:t>
      </w:r>
      <w:r w:rsidR="000C0FE8" w:rsidRPr="00AC0830">
        <w:rPr>
          <w:color w:val="3366FF"/>
        </w:rPr>
        <w:t xml:space="preserve">On study examined particulate matter from a single cylinder rail diesel engine operated under </w:t>
      </w:r>
      <w:proofErr w:type="spellStart"/>
      <w:r w:rsidR="000C0FE8" w:rsidRPr="00AC0830">
        <w:rPr>
          <w:color w:val="3366FF"/>
        </w:rPr>
        <w:t>conventaion</w:t>
      </w:r>
      <w:proofErr w:type="spellEnd"/>
      <w:r w:rsidR="000C0FE8" w:rsidRPr="00AC0830">
        <w:rPr>
          <w:color w:val="3366FF"/>
        </w:rPr>
        <w:t xml:space="preserve"> and premixed LTC (Su et al., 2013) with diesel, </w:t>
      </w:r>
      <w:proofErr w:type="spellStart"/>
      <w:r w:rsidR="000C0FE8" w:rsidRPr="00AC0830">
        <w:rPr>
          <w:color w:val="3366FF"/>
        </w:rPr>
        <w:t>biodesel</w:t>
      </w:r>
      <w:proofErr w:type="spellEnd"/>
      <w:r w:rsidR="000C0FE8" w:rsidRPr="00AC0830">
        <w:rPr>
          <w:color w:val="3366FF"/>
        </w:rPr>
        <w:t xml:space="preserve"> and </w:t>
      </w:r>
      <w:proofErr w:type="spellStart"/>
      <w:r w:rsidR="000C0FE8" w:rsidRPr="00AC0830">
        <w:rPr>
          <w:color w:val="3366FF"/>
        </w:rPr>
        <w:t>biodesil-ethoanol</w:t>
      </w:r>
      <w:proofErr w:type="spellEnd"/>
      <w:r w:rsidR="000C0FE8" w:rsidRPr="00AC0830">
        <w:rPr>
          <w:color w:val="3366FF"/>
        </w:rPr>
        <w:t xml:space="preserve"> </w:t>
      </w:r>
      <w:proofErr w:type="spellStart"/>
      <w:r w:rsidR="000C0FE8" w:rsidRPr="00AC0830">
        <w:rPr>
          <w:color w:val="3366FF"/>
        </w:rPr>
        <w:t>fules</w:t>
      </w:r>
      <w:proofErr w:type="spellEnd"/>
      <w:r w:rsidR="000C0FE8" w:rsidRPr="00AC0830">
        <w:rPr>
          <w:color w:val="3366FF"/>
        </w:rPr>
        <w:t>.</w:t>
      </w:r>
      <w:r w:rsidR="000C0FE8">
        <w:t xml:space="preserve"> </w:t>
      </w:r>
    </w:p>
    <w:p w14:paraId="3C2C22B8" w14:textId="77777777" w:rsidR="00AC0830" w:rsidRDefault="00AC0830" w:rsidP="009C0700">
      <w:pPr>
        <w:widowControl w:val="0"/>
        <w:autoSpaceDE w:val="0"/>
        <w:autoSpaceDN w:val="0"/>
        <w:adjustRightInd w:val="0"/>
        <w:spacing w:after="240"/>
        <w:jc w:val="both"/>
        <w:rPr>
          <w:rFonts w:ascii="Times" w:hAnsi="Times" w:cs="Times"/>
        </w:rPr>
      </w:pPr>
      <w:r>
        <w:rPr>
          <w:rFonts w:ascii="Times" w:hAnsi="Times" w:cs="Times"/>
          <w:sz w:val="26"/>
          <w:szCs w:val="26"/>
        </w:rPr>
        <w:t>Generally, the magnitude of pollutant emissions from diesel engines running on biodiesel is related to the chemical structure of molecules in the fuel.</w:t>
      </w:r>
    </w:p>
    <w:p w14:paraId="043CC484" w14:textId="77777777" w:rsidR="000C0FE8" w:rsidRDefault="000C0FE8" w:rsidP="009C0700">
      <w:pPr>
        <w:jc w:val="both"/>
      </w:pPr>
    </w:p>
    <w:p w14:paraId="2A4B9D00" w14:textId="77777777" w:rsidR="000C0FE8" w:rsidRDefault="000C0FE8" w:rsidP="009C0700">
      <w:pPr>
        <w:widowControl w:val="0"/>
        <w:autoSpaceDE w:val="0"/>
        <w:autoSpaceDN w:val="0"/>
        <w:adjustRightInd w:val="0"/>
        <w:spacing w:after="240"/>
        <w:jc w:val="both"/>
        <w:rPr>
          <w:rFonts w:ascii="Times" w:hAnsi="Times" w:cs="Times"/>
          <w:sz w:val="18"/>
          <w:szCs w:val="18"/>
        </w:rPr>
      </w:pPr>
      <w:r>
        <w:rPr>
          <w:rFonts w:ascii="Times" w:hAnsi="Times" w:cs="Times"/>
          <w:sz w:val="18"/>
          <w:szCs w:val="18"/>
        </w:rPr>
        <w:t xml:space="preserve">For premixed LTC, biodiesel shifts the accumulation mode size distribution curve upwards (i.e., more particles) and towards smaller size particles relative to diesel. The shift in size distribution for biodiesel may be caused by more semi-volatile organic carbon in the exhaust causing an increase in the growth of particles nucleated from volatile species, and less soot leading to a reduction in the number of large carbonaceous agglomerates. </w:t>
      </w:r>
    </w:p>
    <w:p w14:paraId="31D2C073" w14:textId="77777777" w:rsidR="000C0FE8" w:rsidRDefault="000C0FE8" w:rsidP="009C0700">
      <w:pPr>
        <w:widowControl w:val="0"/>
        <w:autoSpaceDE w:val="0"/>
        <w:autoSpaceDN w:val="0"/>
        <w:adjustRightInd w:val="0"/>
        <w:spacing w:after="240"/>
        <w:jc w:val="both"/>
        <w:rPr>
          <w:rFonts w:ascii="Times" w:hAnsi="Times" w:cs="Times"/>
        </w:rPr>
      </w:pPr>
      <w:r>
        <w:rPr>
          <w:rFonts w:ascii="Times" w:hAnsi="Times" w:cs="Times"/>
          <w:sz w:val="18"/>
          <w:szCs w:val="18"/>
        </w:rPr>
        <w:t>Biodiesel increases LTC nucleation mode particles relative to diesel. Biodiesel-E20 increases the amount of small nucleation particles (&lt;20 nm) and decreases the amount of large nucleation particles (20–50 nm) relative to diesel. Biodiesel-B20 produces the lowest soot and total particle number concentration, both at conventional and premixed LTC, demonstrating its potential as an alternative fuel for diesel engines.</w:t>
      </w:r>
    </w:p>
    <w:p w14:paraId="7D2DBF22" w14:textId="77777777" w:rsidR="00AC0830" w:rsidRDefault="00AC0830" w:rsidP="009C0700">
      <w:pPr>
        <w:widowControl w:val="0"/>
        <w:autoSpaceDE w:val="0"/>
        <w:autoSpaceDN w:val="0"/>
        <w:adjustRightInd w:val="0"/>
        <w:spacing w:after="240"/>
        <w:jc w:val="both"/>
        <w:rPr>
          <w:rFonts w:ascii="Times" w:hAnsi="Times" w:cs="Times"/>
          <w:b/>
          <w:bCs/>
        </w:rPr>
      </w:pPr>
      <w:r w:rsidRPr="00AC0830">
        <w:rPr>
          <w:rFonts w:ascii="Times" w:hAnsi="Times" w:cs="Times"/>
          <w:color w:val="008000"/>
        </w:rPr>
        <w:t xml:space="preserve">Zhu et al., 2011 </w:t>
      </w:r>
      <w:r w:rsidRPr="00AC0830">
        <w:rPr>
          <w:rFonts w:ascii="Times" w:hAnsi="Times" w:cs="Times"/>
          <w:b/>
          <w:bCs/>
          <w:color w:val="008000"/>
        </w:rPr>
        <w:t>compression-ignition engine fueled with Euro V diesel fuel blended with dimethyl carbonate (DMC) was investigated experimentally</w:t>
      </w:r>
      <w:r>
        <w:rPr>
          <w:rFonts w:ascii="Times" w:hAnsi="Times" w:cs="Times"/>
          <w:b/>
          <w:bCs/>
          <w:color w:val="008000"/>
        </w:rPr>
        <w:t xml:space="preserve"> </w:t>
      </w:r>
      <w:r>
        <w:rPr>
          <w:rFonts w:ascii="Times" w:hAnsi="Times" w:cs="Times"/>
          <w:b/>
          <w:bCs/>
        </w:rPr>
        <w:t>Blended fuels containing 4.48%, 9.07%, 13.78%, and 18.6% by volume of DMC, corresponding to 3%, 6%, 9%, and 12% by mass of oxygen in the blended fuels, were investigated.</w:t>
      </w:r>
    </w:p>
    <w:p w14:paraId="5F0A86DE" w14:textId="77777777" w:rsidR="00AC0830" w:rsidRDefault="00AC0830" w:rsidP="009C0700">
      <w:pPr>
        <w:widowControl w:val="0"/>
        <w:autoSpaceDE w:val="0"/>
        <w:autoSpaceDN w:val="0"/>
        <w:adjustRightInd w:val="0"/>
        <w:spacing w:after="240"/>
        <w:jc w:val="both"/>
        <w:rPr>
          <w:rFonts w:ascii="Times" w:hAnsi="Times" w:cs="Times"/>
          <w:b/>
          <w:bCs/>
        </w:rPr>
      </w:pPr>
      <w:r>
        <w:rPr>
          <w:rFonts w:ascii="Times" w:hAnsi="Times" w:cs="Times"/>
          <w:b/>
          <w:bCs/>
        </w:rPr>
        <w:t xml:space="preserve">Total number of particles of all reduced.  </w:t>
      </w:r>
    </w:p>
    <w:p w14:paraId="31E4D4E1" w14:textId="77777777" w:rsidR="00AC0830" w:rsidRDefault="00AC0830" w:rsidP="009C0700">
      <w:pPr>
        <w:widowControl w:val="0"/>
        <w:autoSpaceDE w:val="0"/>
        <w:autoSpaceDN w:val="0"/>
        <w:adjustRightInd w:val="0"/>
        <w:spacing w:after="240"/>
        <w:jc w:val="both"/>
        <w:rPr>
          <w:rFonts w:ascii="Times" w:hAnsi="Times" w:cs="Times"/>
          <w:b/>
          <w:bCs/>
        </w:rPr>
      </w:pPr>
      <w:r>
        <w:rPr>
          <w:rFonts w:ascii="Times" w:hAnsi="Times" w:cs="Times"/>
          <w:b/>
          <w:bCs/>
        </w:rPr>
        <w:t xml:space="preserve">The geometric mean diameter of the particles </w:t>
      </w:r>
      <w:proofErr w:type="spellStart"/>
      <w:r>
        <w:rPr>
          <w:rFonts w:ascii="Times" w:hAnsi="Times" w:cs="Times"/>
          <w:b/>
          <w:bCs/>
        </w:rPr>
        <w:t>shirtfs</w:t>
      </w:r>
      <w:proofErr w:type="spellEnd"/>
      <w:r>
        <w:rPr>
          <w:rFonts w:ascii="Times" w:hAnsi="Times" w:cs="Times"/>
          <w:b/>
          <w:bCs/>
        </w:rPr>
        <w:t xml:space="preserve"> towards smaller size in comparison with that of the diesel fuel.  The </w:t>
      </w:r>
      <w:proofErr w:type="spellStart"/>
      <w:r>
        <w:rPr>
          <w:rFonts w:ascii="Times" w:hAnsi="Times" w:cs="Times"/>
          <w:b/>
          <w:bCs/>
        </w:rPr>
        <w:t>particulat</w:t>
      </w:r>
      <w:proofErr w:type="spellEnd"/>
      <w:r>
        <w:rPr>
          <w:rFonts w:ascii="Times" w:hAnsi="Times" w:cs="Times"/>
          <w:b/>
          <w:bCs/>
        </w:rPr>
        <w:t xml:space="preserve"> mass </w:t>
      </w:r>
      <w:proofErr w:type="gramStart"/>
      <w:r>
        <w:rPr>
          <w:rFonts w:ascii="Times" w:hAnsi="Times" w:cs="Times"/>
          <w:b/>
          <w:bCs/>
        </w:rPr>
        <w:t>concentration,</w:t>
      </w:r>
      <w:proofErr w:type="gramEnd"/>
      <w:r>
        <w:rPr>
          <w:rFonts w:ascii="Times" w:hAnsi="Times" w:cs="Times"/>
          <w:b/>
          <w:bCs/>
        </w:rPr>
        <w:t xml:space="preserve"> can be reduced by the use of </w:t>
      </w:r>
      <w:proofErr w:type="spellStart"/>
      <w:r>
        <w:rPr>
          <w:rFonts w:ascii="Times" w:hAnsi="Times" w:cs="Times"/>
          <w:b/>
          <w:bCs/>
        </w:rPr>
        <w:t>dielse</w:t>
      </w:r>
      <w:proofErr w:type="spellEnd"/>
      <w:r>
        <w:rPr>
          <w:rFonts w:ascii="Times" w:hAnsi="Times" w:cs="Times"/>
          <w:b/>
          <w:bCs/>
        </w:rPr>
        <w:t xml:space="preserve"> oxidation catalyst (DOC).  Particles shift towards larger geometric mean </w:t>
      </w:r>
      <w:proofErr w:type="spellStart"/>
      <w:r>
        <w:rPr>
          <w:rFonts w:ascii="Times" w:hAnsi="Times" w:cs="Times"/>
          <w:b/>
          <w:bCs/>
        </w:rPr>
        <w:t>diamtere</w:t>
      </w:r>
      <w:proofErr w:type="spellEnd"/>
      <w:r>
        <w:rPr>
          <w:rFonts w:ascii="Times" w:hAnsi="Times" w:cs="Times"/>
          <w:b/>
          <w:bCs/>
        </w:rPr>
        <w:t xml:space="preserve"> for each fuel. </w:t>
      </w:r>
      <w:proofErr w:type="gramStart"/>
      <w:r>
        <w:rPr>
          <w:rFonts w:ascii="Times" w:hAnsi="Times" w:cs="Times"/>
          <w:b/>
          <w:bCs/>
        </w:rPr>
        <w:t>Indication that the DOC could reduce finer particles.</w:t>
      </w:r>
      <w:proofErr w:type="gramEnd"/>
    </w:p>
    <w:p w14:paraId="32C79A99" w14:textId="77777777" w:rsidR="00AC0830" w:rsidRDefault="00AC0830" w:rsidP="009C0700">
      <w:pPr>
        <w:widowControl w:val="0"/>
        <w:autoSpaceDE w:val="0"/>
        <w:autoSpaceDN w:val="0"/>
        <w:adjustRightInd w:val="0"/>
        <w:spacing w:after="240"/>
        <w:jc w:val="both"/>
        <w:rPr>
          <w:rFonts w:ascii="Times" w:hAnsi="Times" w:cs="Times"/>
          <w:b/>
          <w:bCs/>
        </w:rPr>
      </w:pPr>
    </w:p>
    <w:p w14:paraId="2E82B7C6" w14:textId="77777777" w:rsidR="00AC0830" w:rsidRDefault="00AC0830" w:rsidP="009C0700">
      <w:pPr>
        <w:widowControl w:val="0"/>
        <w:autoSpaceDE w:val="0"/>
        <w:autoSpaceDN w:val="0"/>
        <w:adjustRightInd w:val="0"/>
        <w:spacing w:after="240"/>
        <w:jc w:val="both"/>
        <w:rPr>
          <w:rFonts w:ascii="Times" w:hAnsi="Times" w:cs="Times"/>
        </w:rPr>
      </w:pPr>
      <w:r>
        <w:rPr>
          <w:rFonts w:ascii="Times" w:hAnsi="Times" w:cs="Times"/>
          <w:b/>
          <w:bCs/>
        </w:rPr>
        <w:t>The articles are saying different things</w:t>
      </w:r>
      <w:proofErr w:type="gramStart"/>
      <w:r>
        <w:rPr>
          <w:rFonts w:ascii="Times" w:hAnsi="Times" w:cs="Times"/>
          <w:b/>
          <w:bCs/>
        </w:rPr>
        <w:t>.?</w:t>
      </w:r>
      <w:proofErr w:type="gramEnd"/>
    </w:p>
    <w:p w14:paraId="67D0F8C0" w14:textId="77777777" w:rsidR="00AC0830" w:rsidRPr="00AC0830" w:rsidRDefault="00AC0830" w:rsidP="009C0700">
      <w:pPr>
        <w:widowControl w:val="0"/>
        <w:autoSpaceDE w:val="0"/>
        <w:autoSpaceDN w:val="0"/>
        <w:adjustRightInd w:val="0"/>
        <w:spacing w:after="240"/>
        <w:jc w:val="both"/>
        <w:rPr>
          <w:rFonts w:ascii="Times" w:hAnsi="Times" w:cs="Times"/>
          <w:color w:val="008000"/>
        </w:rPr>
      </w:pPr>
    </w:p>
    <w:p w14:paraId="56E3C513" w14:textId="77777777" w:rsidR="000C0FE8" w:rsidRDefault="000C0FE8" w:rsidP="009C0700">
      <w:pPr>
        <w:widowControl w:val="0"/>
        <w:autoSpaceDE w:val="0"/>
        <w:autoSpaceDN w:val="0"/>
        <w:adjustRightInd w:val="0"/>
        <w:spacing w:after="240"/>
        <w:jc w:val="both"/>
        <w:rPr>
          <w:rFonts w:ascii="Times" w:hAnsi="Times" w:cs="Times"/>
        </w:rPr>
      </w:pPr>
    </w:p>
    <w:p w14:paraId="7B0C563F" w14:textId="77777777" w:rsidR="000C0FE8" w:rsidRDefault="000C0FE8" w:rsidP="009C0700">
      <w:pPr>
        <w:jc w:val="both"/>
      </w:pPr>
    </w:p>
    <w:sectPr w:rsidR="000C0FE8" w:rsidSect="006F1910">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A07"/>
    <w:multiLevelType w:val="hybridMultilevel"/>
    <w:tmpl w:val="3552E968"/>
    <w:lvl w:ilvl="0" w:tplc="E796FFC4">
      <w:start w:val="1"/>
      <w:numFmt w:val="bullet"/>
      <w:lvlText w:val="•"/>
      <w:lvlJc w:val="left"/>
      <w:pPr>
        <w:tabs>
          <w:tab w:val="num" w:pos="720"/>
        </w:tabs>
        <w:ind w:left="720" w:hanging="360"/>
      </w:pPr>
      <w:rPr>
        <w:rFonts w:ascii="Arial" w:hAnsi="Arial" w:hint="default"/>
      </w:rPr>
    </w:lvl>
    <w:lvl w:ilvl="1" w:tplc="8BAE16FE" w:tentative="1">
      <w:start w:val="1"/>
      <w:numFmt w:val="bullet"/>
      <w:lvlText w:val="•"/>
      <w:lvlJc w:val="left"/>
      <w:pPr>
        <w:tabs>
          <w:tab w:val="num" w:pos="1440"/>
        </w:tabs>
        <w:ind w:left="1440" w:hanging="360"/>
      </w:pPr>
      <w:rPr>
        <w:rFonts w:ascii="Arial" w:hAnsi="Arial" w:hint="default"/>
      </w:rPr>
    </w:lvl>
    <w:lvl w:ilvl="2" w:tplc="6C5A4BFA" w:tentative="1">
      <w:start w:val="1"/>
      <w:numFmt w:val="bullet"/>
      <w:lvlText w:val="•"/>
      <w:lvlJc w:val="left"/>
      <w:pPr>
        <w:tabs>
          <w:tab w:val="num" w:pos="2160"/>
        </w:tabs>
        <w:ind w:left="2160" w:hanging="360"/>
      </w:pPr>
      <w:rPr>
        <w:rFonts w:ascii="Arial" w:hAnsi="Arial" w:hint="default"/>
      </w:rPr>
    </w:lvl>
    <w:lvl w:ilvl="3" w:tplc="49CC649A" w:tentative="1">
      <w:start w:val="1"/>
      <w:numFmt w:val="bullet"/>
      <w:lvlText w:val="•"/>
      <w:lvlJc w:val="left"/>
      <w:pPr>
        <w:tabs>
          <w:tab w:val="num" w:pos="2880"/>
        </w:tabs>
        <w:ind w:left="2880" w:hanging="360"/>
      </w:pPr>
      <w:rPr>
        <w:rFonts w:ascii="Arial" w:hAnsi="Arial" w:hint="default"/>
      </w:rPr>
    </w:lvl>
    <w:lvl w:ilvl="4" w:tplc="E33CF1F6" w:tentative="1">
      <w:start w:val="1"/>
      <w:numFmt w:val="bullet"/>
      <w:lvlText w:val="•"/>
      <w:lvlJc w:val="left"/>
      <w:pPr>
        <w:tabs>
          <w:tab w:val="num" w:pos="3600"/>
        </w:tabs>
        <w:ind w:left="3600" w:hanging="360"/>
      </w:pPr>
      <w:rPr>
        <w:rFonts w:ascii="Arial" w:hAnsi="Arial" w:hint="default"/>
      </w:rPr>
    </w:lvl>
    <w:lvl w:ilvl="5" w:tplc="24C854A8" w:tentative="1">
      <w:start w:val="1"/>
      <w:numFmt w:val="bullet"/>
      <w:lvlText w:val="•"/>
      <w:lvlJc w:val="left"/>
      <w:pPr>
        <w:tabs>
          <w:tab w:val="num" w:pos="4320"/>
        </w:tabs>
        <w:ind w:left="4320" w:hanging="360"/>
      </w:pPr>
      <w:rPr>
        <w:rFonts w:ascii="Arial" w:hAnsi="Arial" w:hint="default"/>
      </w:rPr>
    </w:lvl>
    <w:lvl w:ilvl="6" w:tplc="0DC82062" w:tentative="1">
      <w:start w:val="1"/>
      <w:numFmt w:val="bullet"/>
      <w:lvlText w:val="•"/>
      <w:lvlJc w:val="left"/>
      <w:pPr>
        <w:tabs>
          <w:tab w:val="num" w:pos="5040"/>
        </w:tabs>
        <w:ind w:left="5040" w:hanging="360"/>
      </w:pPr>
      <w:rPr>
        <w:rFonts w:ascii="Arial" w:hAnsi="Arial" w:hint="default"/>
      </w:rPr>
    </w:lvl>
    <w:lvl w:ilvl="7" w:tplc="BC907F1A" w:tentative="1">
      <w:start w:val="1"/>
      <w:numFmt w:val="bullet"/>
      <w:lvlText w:val="•"/>
      <w:lvlJc w:val="left"/>
      <w:pPr>
        <w:tabs>
          <w:tab w:val="num" w:pos="5760"/>
        </w:tabs>
        <w:ind w:left="5760" w:hanging="360"/>
      </w:pPr>
      <w:rPr>
        <w:rFonts w:ascii="Arial" w:hAnsi="Arial" w:hint="default"/>
      </w:rPr>
    </w:lvl>
    <w:lvl w:ilvl="8" w:tplc="86F04678" w:tentative="1">
      <w:start w:val="1"/>
      <w:numFmt w:val="bullet"/>
      <w:lvlText w:val="•"/>
      <w:lvlJc w:val="left"/>
      <w:pPr>
        <w:tabs>
          <w:tab w:val="num" w:pos="6480"/>
        </w:tabs>
        <w:ind w:left="6480" w:hanging="360"/>
      </w:pPr>
      <w:rPr>
        <w:rFonts w:ascii="Arial" w:hAnsi="Arial" w:hint="default"/>
      </w:rPr>
    </w:lvl>
  </w:abstractNum>
  <w:abstractNum w:abstractNumId="1">
    <w:nsid w:val="0E4761AC"/>
    <w:multiLevelType w:val="hybridMultilevel"/>
    <w:tmpl w:val="BC6024AE"/>
    <w:lvl w:ilvl="0" w:tplc="A70ABBE8">
      <w:start w:val="1"/>
      <w:numFmt w:val="bullet"/>
      <w:lvlText w:val="•"/>
      <w:lvlJc w:val="left"/>
      <w:pPr>
        <w:tabs>
          <w:tab w:val="num" w:pos="720"/>
        </w:tabs>
        <w:ind w:left="720" w:hanging="360"/>
      </w:pPr>
      <w:rPr>
        <w:rFonts w:ascii="Arial" w:hAnsi="Arial" w:hint="default"/>
      </w:rPr>
    </w:lvl>
    <w:lvl w:ilvl="1" w:tplc="33BAB59C">
      <w:start w:val="1"/>
      <w:numFmt w:val="bullet"/>
      <w:lvlText w:val="•"/>
      <w:lvlJc w:val="left"/>
      <w:pPr>
        <w:tabs>
          <w:tab w:val="num" w:pos="1440"/>
        </w:tabs>
        <w:ind w:left="1440" w:hanging="360"/>
      </w:pPr>
      <w:rPr>
        <w:rFonts w:ascii="Arial" w:hAnsi="Arial" w:hint="default"/>
      </w:rPr>
    </w:lvl>
    <w:lvl w:ilvl="2" w:tplc="99642810" w:tentative="1">
      <w:start w:val="1"/>
      <w:numFmt w:val="bullet"/>
      <w:lvlText w:val="•"/>
      <w:lvlJc w:val="left"/>
      <w:pPr>
        <w:tabs>
          <w:tab w:val="num" w:pos="2160"/>
        </w:tabs>
        <w:ind w:left="2160" w:hanging="360"/>
      </w:pPr>
      <w:rPr>
        <w:rFonts w:ascii="Arial" w:hAnsi="Arial" w:hint="default"/>
      </w:rPr>
    </w:lvl>
    <w:lvl w:ilvl="3" w:tplc="6B364D2A" w:tentative="1">
      <w:start w:val="1"/>
      <w:numFmt w:val="bullet"/>
      <w:lvlText w:val="•"/>
      <w:lvlJc w:val="left"/>
      <w:pPr>
        <w:tabs>
          <w:tab w:val="num" w:pos="2880"/>
        </w:tabs>
        <w:ind w:left="2880" w:hanging="360"/>
      </w:pPr>
      <w:rPr>
        <w:rFonts w:ascii="Arial" w:hAnsi="Arial" w:hint="default"/>
      </w:rPr>
    </w:lvl>
    <w:lvl w:ilvl="4" w:tplc="93441A0E" w:tentative="1">
      <w:start w:val="1"/>
      <w:numFmt w:val="bullet"/>
      <w:lvlText w:val="•"/>
      <w:lvlJc w:val="left"/>
      <w:pPr>
        <w:tabs>
          <w:tab w:val="num" w:pos="3600"/>
        </w:tabs>
        <w:ind w:left="3600" w:hanging="360"/>
      </w:pPr>
      <w:rPr>
        <w:rFonts w:ascii="Arial" w:hAnsi="Arial" w:hint="default"/>
      </w:rPr>
    </w:lvl>
    <w:lvl w:ilvl="5" w:tplc="11B25002" w:tentative="1">
      <w:start w:val="1"/>
      <w:numFmt w:val="bullet"/>
      <w:lvlText w:val="•"/>
      <w:lvlJc w:val="left"/>
      <w:pPr>
        <w:tabs>
          <w:tab w:val="num" w:pos="4320"/>
        </w:tabs>
        <w:ind w:left="4320" w:hanging="360"/>
      </w:pPr>
      <w:rPr>
        <w:rFonts w:ascii="Arial" w:hAnsi="Arial" w:hint="default"/>
      </w:rPr>
    </w:lvl>
    <w:lvl w:ilvl="6" w:tplc="EBE2D318" w:tentative="1">
      <w:start w:val="1"/>
      <w:numFmt w:val="bullet"/>
      <w:lvlText w:val="•"/>
      <w:lvlJc w:val="left"/>
      <w:pPr>
        <w:tabs>
          <w:tab w:val="num" w:pos="5040"/>
        </w:tabs>
        <w:ind w:left="5040" w:hanging="360"/>
      </w:pPr>
      <w:rPr>
        <w:rFonts w:ascii="Arial" w:hAnsi="Arial" w:hint="default"/>
      </w:rPr>
    </w:lvl>
    <w:lvl w:ilvl="7" w:tplc="BF78FB7A" w:tentative="1">
      <w:start w:val="1"/>
      <w:numFmt w:val="bullet"/>
      <w:lvlText w:val="•"/>
      <w:lvlJc w:val="left"/>
      <w:pPr>
        <w:tabs>
          <w:tab w:val="num" w:pos="5760"/>
        </w:tabs>
        <w:ind w:left="5760" w:hanging="360"/>
      </w:pPr>
      <w:rPr>
        <w:rFonts w:ascii="Arial" w:hAnsi="Arial" w:hint="default"/>
      </w:rPr>
    </w:lvl>
    <w:lvl w:ilvl="8" w:tplc="0142BCB2" w:tentative="1">
      <w:start w:val="1"/>
      <w:numFmt w:val="bullet"/>
      <w:lvlText w:val="•"/>
      <w:lvlJc w:val="left"/>
      <w:pPr>
        <w:tabs>
          <w:tab w:val="num" w:pos="6480"/>
        </w:tabs>
        <w:ind w:left="6480" w:hanging="360"/>
      </w:pPr>
      <w:rPr>
        <w:rFonts w:ascii="Arial" w:hAnsi="Arial" w:hint="default"/>
      </w:rPr>
    </w:lvl>
  </w:abstractNum>
  <w:abstractNum w:abstractNumId="2">
    <w:nsid w:val="460E5C02"/>
    <w:multiLevelType w:val="hybridMultilevel"/>
    <w:tmpl w:val="DEFAD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75B3601"/>
    <w:multiLevelType w:val="hybridMultilevel"/>
    <w:tmpl w:val="E2964898"/>
    <w:lvl w:ilvl="0" w:tplc="43D6FADA">
      <w:start w:val="1"/>
      <w:numFmt w:val="bullet"/>
      <w:lvlText w:val="•"/>
      <w:lvlJc w:val="left"/>
      <w:pPr>
        <w:tabs>
          <w:tab w:val="num" w:pos="720"/>
        </w:tabs>
        <w:ind w:left="720" w:hanging="360"/>
      </w:pPr>
      <w:rPr>
        <w:rFonts w:ascii="Arial" w:hAnsi="Arial" w:hint="default"/>
      </w:rPr>
    </w:lvl>
    <w:lvl w:ilvl="1" w:tplc="3DCAF6FC">
      <w:numFmt w:val="bullet"/>
      <w:lvlText w:val="•"/>
      <w:lvlJc w:val="left"/>
      <w:pPr>
        <w:tabs>
          <w:tab w:val="num" w:pos="1440"/>
        </w:tabs>
        <w:ind w:left="1440" w:hanging="360"/>
      </w:pPr>
      <w:rPr>
        <w:rFonts w:ascii="Arial" w:hAnsi="Arial" w:hint="default"/>
      </w:rPr>
    </w:lvl>
    <w:lvl w:ilvl="2" w:tplc="E0D4BC42" w:tentative="1">
      <w:start w:val="1"/>
      <w:numFmt w:val="bullet"/>
      <w:lvlText w:val="•"/>
      <w:lvlJc w:val="left"/>
      <w:pPr>
        <w:tabs>
          <w:tab w:val="num" w:pos="2160"/>
        </w:tabs>
        <w:ind w:left="2160" w:hanging="360"/>
      </w:pPr>
      <w:rPr>
        <w:rFonts w:ascii="Arial" w:hAnsi="Arial" w:hint="default"/>
      </w:rPr>
    </w:lvl>
    <w:lvl w:ilvl="3" w:tplc="DD0C915A" w:tentative="1">
      <w:start w:val="1"/>
      <w:numFmt w:val="bullet"/>
      <w:lvlText w:val="•"/>
      <w:lvlJc w:val="left"/>
      <w:pPr>
        <w:tabs>
          <w:tab w:val="num" w:pos="2880"/>
        </w:tabs>
        <w:ind w:left="2880" w:hanging="360"/>
      </w:pPr>
      <w:rPr>
        <w:rFonts w:ascii="Arial" w:hAnsi="Arial" w:hint="default"/>
      </w:rPr>
    </w:lvl>
    <w:lvl w:ilvl="4" w:tplc="B2F27976" w:tentative="1">
      <w:start w:val="1"/>
      <w:numFmt w:val="bullet"/>
      <w:lvlText w:val="•"/>
      <w:lvlJc w:val="left"/>
      <w:pPr>
        <w:tabs>
          <w:tab w:val="num" w:pos="3600"/>
        </w:tabs>
        <w:ind w:left="3600" w:hanging="360"/>
      </w:pPr>
      <w:rPr>
        <w:rFonts w:ascii="Arial" w:hAnsi="Arial" w:hint="default"/>
      </w:rPr>
    </w:lvl>
    <w:lvl w:ilvl="5" w:tplc="20BE707E" w:tentative="1">
      <w:start w:val="1"/>
      <w:numFmt w:val="bullet"/>
      <w:lvlText w:val="•"/>
      <w:lvlJc w:val="left"/>
      <w:pPr>
        <w:tabs>
          <w:tab w:val="num" w:pos="4320"/>
        </w:tabs>
        <w:ind w:left="4320" w:hanging="360"/>
      </w:pPr>
      <w:rPr>
        <w:rFonts w:ascii="Arial" w:hAnsi="Arial" w:hint="default"/>
      </w:rPr>
    </w:lvl>
    <w:lvl w:ilvl="6" w:tplc="06D469FE" w:tentative="1">
      <w:start w:val="1"/>
      <w:numFmt w:val="bullet"/>
      <w:lvlText w:val="•"/>
      <w:lvlJc w:val="left"/>
      <w:pPr>
        <w:tabs>
          <w:tab w:val="num" w:pos="5040"/>
        </w:tabs>
        <w:ind w:left="5040" w:hanging="360"/>
      </w:pPr>
      <w:rPr>
        <w:rFonts w:ascii="Arial" w:hAnsi="Arial" w:hint="default"/>
      </w:rPr>
    </w:lvl>
    <w:lvl w:ilvl="7" w:tplc="981CF214" w:tentative="1">
      <w:start w:val="1"/>
      <w:numFmt w:val="bullet"/>
      <w:lvlText w:val="•"/>
      <w:lvlJc w:val="left"/>
      <w:pPr>
        <w:tabs>
          <w:tab w:val="num" w:pos="5760"/>
        </w:tabs>
        <w:ind w:left="5760" w:hanging="360"/>
      </w:pPr>
      <w:rPr>
        <w:rFonts w:ascii="Arial" w:hAnsi="Arial" w:hint="default"/>
      </w:rPr>
    </w:lvl>
    <w:lvl w:ilvl="8" w:tplc="6A0A7D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E0"/>
    <w:rsid w:val="000572B3"/>
    <w:rsid w:val="000C0FE8"/>
    <w:rsid w:val="001239E0"/>
    <w:rsid w:val="00264A9E"/>
    <w:rsid w:val="003F665D"/>
    <w:rsid w:val="004A14B0"/>
    <w:rsid w:val="00597FA6"/>
    <w:rsid w:val="005A2BF7"/>
    <w:rsid w:val="005D7697"/>
    <w:rsid w:val="00614710"/>
    <w:rsid w:val="006F1910"/>
    <w:rsid w:val="007C202A"/>
    <w:rsid w:val="00804FC6"/>
    <w:rsid w:val="00814203"/>
    <w:rsid w:val="00916F99"/>
    <w:rsid w:val="009C0700"/>
    <w:rsid w:val="00A27D3E"/>
    <w:rsid w:val="00AC0830"/>
    <w:rsid w:val="00E00EA6"/>
    <w:rsid w:val="00F71BA8"/>
    <w:rsid w:val="00FB74DD"/>
    <w:rsid w:val="00FC5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B2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EA6"/>
    <w:rPr>
      <w:color w:val="0000FF" w:themeColor="hyperlink"/>
      <w:u w:val="single"/>
    </w:rPr>
  </w:style>
  <w:style w:type="paragraph" w:styleId="ListParagraph">
    <w:name w:val="List Paragraph"/>
    <w:basedOn w:val="Normal"/>
    <w:uiPriority w:val="34"/>
    <w:qFormat/>
    <w:rsid w:val="00FC55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EA6"/>
    <w:rPr>
      <w:color w:val="0000FF" w:themeColor="hyperlink"/>
      <w:u w:val="single"/>
    </w:rPr>
  </w:style>
  <w:style w:type="paragraph" w:styleId="ListParagraph">
    <w:name w:val="List Paragraph"/>
    <w:basedOn w:val="Normal"/>
    <w:uiPriority w:val="34"/>
    <w:qFormat/>
    <w:rsid w:val="00FC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0552">
      <w:bodyDiv w:val="1"/>
      <w:marLeft w:val="0"/>
      <w:marRight w:val="0"/>
      <w:marTop w:val="0"/>
      <w:marBottom w:val="0"/>
      <w:divBdr>
        <w:top w:val="none" w:sz="0" w:space="0" w:color="auto"/>
        <w:left w:val="none" w:sz="0" w:space="0" w:color="auto"/>
        <w:bottom w:val="none" w:sz="0" w:space="0" w:color="auto"/>
        <w:right w:val="none" w:sz="0" w:space="0" w:color="auto"/>
      </w:divBdr>
      <w:divsChild>
        <w:div w:id="772213258">
          <w:marLeft w:val="446"/>
          <w:marRight w:val="0"/>
          <w:marTop w:val="0"/>
          <w:marBottom w:val="0"/>
          <w:divBdr>
            <w:top w:val="none" w:sz="0" w:space="0" w:color="auto"/>
            <w:left w:val="none" w:sz="0" w:space="0" w:color="auto"/>
            <w:bottom w:val="none" w:sz="0" w:space="0" w:color="auto"/>
            <w:right w:val="none" w:sz="0" w:space="0" w:color="auto"/>
          </w:divBdr>
        </w:div>
        <w:div w:id="1633755298">
          <w:marLeft w:val="1166"/>
          <w:marRight w:val="0"/>
          <w:marTop w:val="0"/>
          <w:marBottom w:val="0"/>
          <w:divBdr>
            <w:top w:val="none" w:sz="0" w:space="0" w:color="auto"/>
            <w:left w:val="none" w:sz="0" w:space="0" w:color="auto"/>
            <w:bottom w:val="none" w:sz="0" w:space="0" w:color="auto"/>
            <w:right w:val="none" w:sz="0" w:space="0" w:color="auto"/>
          </w:divBdr>
        </w:div>
      </w:divsChild>
    </w:div>
    <w:div w:id="195042689">
      <w:bodyDiv w:val="1"/>
      <w:marLeft w:val="0"/>
      <w:marRight w:val="0"/>
      <w:marTop w:val="0"/>
      <w:marBottom w:val="0"/>
      <w:divBdr>
        <w:top w:val="none" w:sz="0" w:space="0" w:color="auto"/>
        <w:left w:val="none" w:sz="0" w:space="0" w:color="auto"/>
        <w:bottom w:val="none" w:sz="0" w:space="0" w:color="auto"/>
        <w:right w:val="none" w:sz="0" w:space="0" w:color="auto"/>
      </w:divBdr>
      <w:divsChild>
        <w:div w:id="2117553389">
          <w:marLeft w:val="274"/>
          <w:marRight w:val="0"/>
          <w:marTop w:val="0"/>
          <w:marBottom w:val="0"/>
          <w:divBdr>
            <w:top w:val="none" w:sz="0" w:space="0" w:color="auto"/>
            <w:left w:val="none" w:sz="0" w:space="0" w:color="auto"/>
            <w:bottom w:val="none" w:sz="0" w:space="0" w:color="auto"/>
            <w:right w:val="none" w:sz="0" w:space="0" w:color="auto"/>
          </w:divBdr>
        </w:div>
        <w:div w:id="1093475837">
          <w:marLeft w:val="274"/>
          <w:marRight w:val="0"/>
          <w:marTop w:val="0"/>
          <w:marBottom w:val="0"/>
          <w:divBdr>
            <w:top w:val="none" w:sz="0" w:space="0" w:color="auto"/>
            <w:left w:val="none" w:sz="0" w:space="0" w:color="auto"/>
            <w:bottom w:val="none" w:sz="0" w:space="0" w:color="auto"/>
            <w:right w:val="none" w:sz="0" w:space="0" w:color="auto"/>
          </w:divBdr>
        </w:div>
        <w:div w:id="173082998">
          <w:marLeft w:val="274"/>
          <w:marRight w:val="0"/>
          <w:marTop w:val="0"/>
          <w:marBottom w:val="0"/>
          <w:divBdr>
            <w:top w:val="none" w:sz="0" w:space="0" w:color="auto"/>
            <w:left w:val="none" w:sz="0" w:space="0" w:color="auto"/>
            <w:bottom w:val="none" w:sz="0" w:space="0" w:color="auto"/>
            <w:right w:val="none" w:sz="0" w:space="0" w:color="auto"/>
          </w:divBdr>
        </w:div>
      </w:divsChild>
    </w:div>
    <w:div w:id="345787359">
      <w:bodyDiv w:val="1"/>
      <w:marLeft w:val="0"/>
      <w:marRight w:val="0"/>
      <w:marTop w:val="0"/>
      <w:marBottom w:val="0"/>
      <w:divBdr>
        <w:top w:val="none" w:sz="0" w:space="0" w:color="auto"/>
        <w:left w:val="none" w:sz="0" w:space="0" w:color="auto"/>
        <w:bottom w:val="none" w:sz="0" w:space="0" w:color="auto"/>
        <w:right w:val="none" w:sz="0" w:space="0" w:color="auto"/>
      </w:divBdr>
    </w:div>
    <w:div w:id="1129009693">
      <w:bodyDiv w:val="1"/>
      <w:marLeft w:val="0"/>
      <w:marRight w:val="0"/>
      <w:marTop w:val="0"/>
      <w:marBottom w:val="0"/>
      <w:divBdr>
        <w:top w:val="none" w:sz="0" w:space="0" w:color="auto"/>
        <w:left w:val="none" w:sz="0" w:space="0" w:color="auto"/>
        <w:bottom w:val="none" w:sz="0" w:space="0" w:color="auto"/>
        <w:right w:val="none" w:sz="0" w:space="0" w:color="auto"/>
      </w:divBdr>
      <w:divsChild>
        <w:div w:id="1395346904">
          <w:marLeft w:val="446"/>
          <w:marRight w:val="0"/>
          <w:marTop w:val="0"/>
          <w:marBottom w:val="0"/>
          <w:divBdr>
            <w:top w:val="none" w:sz="0" w:space="0" w:color="auto"/>
            <w:left w:val="none" w:sz="0" w:space="0" w:color="auto"/>
            <w:bottom w:val="none" w:sz="0" w:space="0" w:color="auto"/>
            <w:right w:val="none" w:sz="0" w:space="0" w:color="auto"/>
          </w:divBdr>
        </w:div>
        <w:div w:id="1714574540">
          <w:marLeft w:val="1166"/>
          <w:marRight w:val="0"/>
          <w:marTop w:val="0"/>
          <w:marBottom w:val="0"/>
          <w:divBdr>
            <w:top w:val="none" w:sz="0" w:space="0" w:color="auto"/>
            <w:left w:val="none" w:sz="0" w:space="0" w:color="auto"/>
            <w:bottom w:val="none" w:sz="0" w:space="0" w:color="auto"/>
            <w:right w:val="none" w:sz="0" w:space="0" w:color="auto"/>
          </w:divBdr>
        </w:div>
      </w:divsChild>
    </w:div>
    <w:div w:id="1300501119">
      <w:bodyDiv w:val="1"/>
      <w:marLeft w:val="0"/>
      <w:marRight w:val="0"/>
      <w:marTop w:val="0"/>
      <w:marBottom w:val="0"/>
      <w:divBdr>
        <w:top w:val="none" w:sz="0" w:space="0" w:color="auto"/>
        <w:left w:val="none" w:sz="0" w:space="0" w:color="auto"/>
        <w:bottom w:val="none" w:sz="0" w:space="0" w:color="auto"/>
        <w:right w:val="none" w:sz="0" w:space="0" w:color="auto"/>
      </w:divBdr>
      <w:divsChild>
        <w:div w:id="670060581">
          <w:marLeft w:val="446"/>
          <w:marRight w:val="0"/>
          <w:marTop w:val="0"/>
          <w:marBottom w:val="0"/>
          <w:divBdr>
            <w:top w:val="none" w:sz="0" w:space="0" w:color="auto"/>
            <w:left w:val="none" w:sz="0" w:space="0" w:color="auto"/>
            <w:bottom w:val="none" w:sz="0" w:space="0" w:color="auto"/>
            <w:right w:val="none" w:sz="0" w:space="0" w:color="auto"/>
          </w:divBdr>
        </w:div>
        <w:div w:id="2010402790">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erosols.ucsd.edu/aerosolsinmotion.html" TargetMode="External"/><Relationship Id="rId7" Type="http://schemas.openxmlformats.org/officeDocument/2006/relationships/hyperlink" Target="http://aerosols.ucsd.edu/aerosolsinmotio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1673</Words>
  <Characters>9542</Characters>
  <Application>Microsoft Macintosh Word</Application>
  <DocSecurity>0</DocSecurity>
  <Lines>79</Lines>
  <Paragraphs>22</Paragraphs>
  <ScaleCrop>false</ScaleCrop>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Chang</dc:creator>
  <cp:keywords/>
  <dc:description/>
  <cp:lastModifiedBy>Kylee Chang</cp:lastModifiedBy>
  <cp:revision>6</cp:revision>
  <dcterms:created xsi:type="dcterms:W3CDTF">2014-02-24T00:48:00Z</dcterms:created>
  <dcterms:modified xsi:type="dcterms:W3CDTF">2014-02-25T18:33:00Z</dcterms:modified>
</cp:coreProperties>
</file>